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27EF1">
        <w:rPr>
          <w:b/>
        </w:rPr>
        <w:t>СТ РК I</w:t>
      </w:r>
      <w:r w:rsidR="00637A55" w:rsidRPr="00B27EF1">
        <w:rPr>
          <w:b/>
        </w:rPr>
        <w:t>EC</w:t>
      </w:r>
      <w:r w:rsidR="00B27EF1" w:rsidRPr="00B27EF1">
        <w:rPr>
          <w:b/>
        </w:rPr>
        <w:t>/TS 63060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B27EF1" w:rsidRPr="00B27EF1">
        <w:rPr>
          <w:b/>
        </w:rPr>
        <w:t xml:space="preserve">Сети электроснабжения. Общие аспекты и </w:t>
      </w:r>
      <w:proofErr w:type="gramStart"/>
      <w:r w:rsidR="00B27EF1" w:rsidRPr="00B27EF1">
        <w:rPr>
          <w:b/>
        </w:rPr>
        <w:t>методы технического обслуживания и ремонта установок</w:t>
      </w:r>
      <w:proofErr w:type="gramEnd"/>
      <w:r w:rsidR="00B27EF1" w:rsidRPr="00B27EF1">
        <w:rPr>
          <w:b/>
        </w:rPr>
        <w:t xml:space="preserve"> и оборудования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B27EF1" w:rsidRDefault="00B27EF1" w:rsidP="00B27EF1">
            <w:pPr>
              <w:rPr>
                <w:b/>
              </w:rPr>
            </w:pPr>
            <w:r w:rsidRPr="000C489B">
              <w:t xml:space="preserve">СТ РК IEC/TS 63060 «Сети электроснабжения. Общие аспекты и методы технического обслуживания и ремонта установок и </w:t>
            </w:r>
            <w:r w:rsidR="000C489B">
              <w:t>о</w:t>
            </w:r>
            <w:bookmarkStart w:id="0" w:name="_GoBack"/>
            <w:bookmarkEnd w:id="0"/>
            <w:r w:rsidRPr="000C489B">
              <w:t>борудования»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FC286E" w:rsidP="00FC286E">
            <w:pPr>
              <w:tabs>
                <w:tab w:val="num" w:pos="0"/>
              </w:tabs>
              <w:jc w:val="both"/>
            </w:pPr>
            <w:r w:rsidRPr="004058A0">
              <w:t xml:space="preserve">Настоящий стандарт </w:t>
            </w:r>
            <w:r w:rsidR="00B27EF1" w:rsidRPr="00B27EF1">
              <w:t xml:space="preserve">содержит руководство по разработке требований к техническому обслуживанию установок и оборудованию в электрических сетях. </w:t>
            </w:r>
            <w:r w:rsidR="00B27EF1" w:rsidRPr="004058A0">
              <w:t>Настоящий стандарт</w:t>
            </w:r>
            <w:r w:rsidR="00B27EF1" w:rsidRPr="00B27EF1">
              <w:t xml:space="preserve"> в первую очередь предназначен для операторов сетей электроснабжения, преимущественно для сетей общего пользования, включая высоковольтную передачу постоянного тока (HVDC).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B27EF1" w:rsidP="007D4838">
            <w:pPr>
              <w:tabs>
                <w:tab w:val="num" w:pos="0"/>
              </w:tabs>
              <w:jc w:val="both"/>
            </w:pPr>
            <w:r w:rsidRPr="00B27EF1">
              <w:t xml:space="preserve">Для </w:t>
            </w:r>
            <w:r w:rsidRPr="00B27EF1">
              <w:t>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A32E3C" w:rsidP="00B27EF1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27EF1">
              <w:rPr>
                <w:lang w:val="en-US"/>
              </w:rPr>
              <w:t xml:space="preserve"> </w:t>
            </w:r>
            <w:r w:rsidRPr="00E54C35">
              <w:t>стандарт</w:t>
            </w:r>
            <w:r w:rsidRPr="00B27EF1">
              <w:rPr>
                <w:lang w:val="en-US"/>
              </w:rPr>
              <w:t xml:space="preserve"> </w:t>
            </w:r>
            <w:r w:rsidR="00E54C35" w:rsidRPr="00E54C35">
              <w:t>разрабатывается</w:t>
            </w:r>
            <w:r w:rsidR="00E54C35" w:rsidRPr="00B27EF1">
              <w:rPr>
                <w:lang w:val="en-US"/>
              </w:rPr>
              <w:t xml:space="preserve"> </w:t>
            </w:r>
            <w:r w:rsidR="00E54C35" w:rsidRPr="00E54C35">
              <w:t>на</w:t>
            </w:r>
            <w:r w:rsidR="00E54C35" w:rsidRPr="00B27EF1">
              <w:rPr>
                <w:lang w:val="en-US"/>
              </w:rPr>
              <w:t xml:space="preserve"> </w:t>
            </w:r>
            <w:proofErr w:type="gramStart"/>
            <w:r w:rsidR="00E54C35" w:rsidRPr="00E54C35">
              <w:t>основе</w:t>
            </w:r>
            <w:r w:rsidR="00E54C35" w:rsidRPr="00B27EF1">
              <w:rPr>
                <w:lang w:val="en-US"/>
              </w:rPr>
              <w:t xml:space="preserve"> </w:t>
            </w:r>
            <w:r w:rsidR="007757B9" w:rsidRPr="00B27EF1">
              <w:rPr>
                <w:lang w:val="en-US"/>
              </w:rPr>
              <w:t xml:space="preserve"> </w:t>
            </w:r>
            <w:r w:rsidR="00B27EF1" w:rsidRPr="00B27EF1">
              <w:rPr>
                <w:lang w:val="en-US"/>
              </w:rPr>
              <w:t>IEC</w:t>
            </w:r>
            <w:proofErr w:type="gramEnd"/>
            <w:r w:rsidR="00B27EF1" w:rsidRPr="00B27EF1">
              <w:rPr>
                <w:lang w:val="en-US"/>
              </w:rPr>
              <w:t>/TS 63060</w:t>
            </w:r>
            <w:r w:rsidR="00B27EF1" w:rsidRPr="00B27EF1">
              <w:rPr>
                <w:lang w:val="en-US"/>
              </w:rPr>
              <w:t>:2019</w:t>
            </w:r>
            <w:r w:rsidR="00B27EF1" w:rsidRPr="00B27EF1">
              <w:rPr>
                <w:lang w:val="en-US"/>
              </w:rPr>
              <w:t xml:space="preserve"> </w:t>
            </w:r>
            <w:r w:rsidR="00B27EF1" w:rsidRPr="00B27EF1">
              <w:rPr>
                <w:lang w:val="en-US"/>
              </w:rPr>
              <w:t xml:space="preserve">Electric energy supply networks – General aspects and methods for the maintenance of installations and equipment  </w:t>
            </w:r>
            <w:r w:rsidR="00FC286E" w:rsidRPr="00B27EF1">
              <w:rPr>
                <w:lang w:val="en-US"/>
              </w:rPr>
              <w:t>(</w:t>
            </w:r>
            <w:r w:rsidR="00B27EF1" w:rsidRPr="00B27EF1">
              <w:t>Сети</w:t>
            </w:r>
            <w:r w:rsidR="00B27EF1" w:rsidRPr="00B27EF1">
              <w:rPr>
                <w:lang w:val="en-US"/>
              </w:rPr>
              <w:t xml:space="preserve"> </w:t>
            </w:r>
            <w:r w:rsidR="00B27EF1" w:rsidRPr="00B27EF1">
              <w:t>электроснабжения</w:t>
            </w:r>
            <w:r w:rsidR="00B27EF1" w:rsidRPr="00B27EF1">
              <w:rPr>
                <w:lang w:val="en-US"/>
              </w:rPr>
              <w:t xml:space="preserve">. </w:t>
            </w:r>
            <w:r w:rsidR="00B27EF1" w:rsidRPr="00B27EF1">
              <w:t xml:space="preserve">Общие аспекты и </w:t>
            </w:r>
            <w:proofErr w:type="gramStart"/>
            <w:r w:rsidR="00B27EF1" w:rsidRPr="00B27EF1">
              <w:t>методы технического обслуживания и ремонта установок</w:t>
            </w:r>
            <w:proofErr w:type="gramEnd"/>
            <w:r w:rsidR="00B27EF1" w:rsidRPr="00B27EF1">
              <w:t xml:space="preserve"> и оборудования</w:t>
            </w:r>
            <w:r w:rsidR="00FC286E" w:rsidRPr="007350EC">
              <w:t>)</w:t>
            </w:r>
          </w:p>
          <w:p w:rsidR="00B27EF1" w:rsidRPr="00E54C35" w:rsidRDefault="00B27EF1" w:rsidP="00B27EF1">
            <w:pPr>
              <w:tabs>
                <w:tab w:val="num" w:pos="0"/>
              </w:tabs>
              <w:jc w:val="both"/>
            </w:pP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  <w:p w:rsidR="00B27EF1" w:rsidRDefault="00B27EF1" w:rsidP="009549DB">
            <w:pPr>
              <w:rPr>
                <w:b/>
              </w:rPr>
            </w:pPr>
          </w:p>
          <w:p w:rsidR="00B27EF1" w:rsidRDefault="00B27EF1" w:rsidP="009549DB">
            <w:pPr>
              <w:rPr>
                <w:b/>
              </w:rPr>
            </w:pPr>
          </w:p>
          <w:p w:rsidR="00B27EF1" w:rsidRPr="00970694" w:rsidRDefault="00B27EF1" w:rsidP="009549DB">
            <w:pPr>
              <w:rPr>
                <w:b/>
              </w:rPr>
            </w:pP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</w:t>
            </w:r>
            <w:r w:rsidR="00D94E4D">
              <w:rPr>
                <w:lang w:val="kk-KZ"/>
              </w:rPr>
              <w:t>2 октября</w:t>
            </w:r>
            <w:r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7C782D" w:rsidRDefault="000C489B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  <w:p w:rsidR="0008167C" w:rsidRPr="0084230D" w:rsidRDefault="0008167C" w:rsidP="00BF6ADF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Pr="00322614">
                <w:t>tk91kbs@mail.ru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D94E4D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12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9162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14</cp:revision>
  <cp:lastPrinted>2017-03-24T05:52:00Z</cp:lastPrinted>
  <dcterms:created xsi:type="dcterms:W3CDTF">2020-03-05T06:44:00Z</dcterms:created>
  <dcterms:modified xsi:type="dcterms:W3CDTF">2020-08-12T15:30:00Z</dcterms:modified>
</cp:coreProperties>
</file>