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4F79BCB6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</w:t>
      </w:r>
      <w:r w:rsidR="006A406C" w:rsidRPr="006A406C">
        <w:rPr>
          <w:rFonts w:asciiTheme="majorBidi" w:hAnsiTheme="majorBidi" w:cstheme="majorBidi"/>
          <w:b/>
        </w:rPr>
        <w:t xml:space="preserve">завершении </w:t>
      </w:r>
      <w:r w:rsidRPr="00321A4B">
        <w:rPr>
          <w:rFonts w:asciiTheme="majorBidi" w:hAnsiTheme="majorBidi" w:cstheme="majorBidi"/>
          <w:b/>
        </w:rPr>
        <w:t xml:space="preserve">разработки </w:t>
      </w:r>
    </w:p>
    <w:p w14:paraId="13545581" w14:textId="698CF655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995A0B" w:rsidRPr="00995A0B">
        <w:rPr>
          <w:rFonts w:asciiTheme="majorBidi" w:hAnsiTheme="majorBidi" w:cstheme="majorBidi"/>
          <w:b/>
        </w:rPr>
        <w:t>«</w:t>
      </w:r>
      <w:r w:rsidR="00FA4297" w:rsidRPr="00FA4297">
        <w:rPr>
          <w:rFonts w:asciiTheme="majorBidi" w:hAnsiTheme="majorBidi" w:cstheme="majorBidi"/>
          <w:b/>
        </w:rPr>
        <w:t>Системы видеонаблюдения. Установка и эксплуатация. Основные положения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72A9939B" w:rsidR="002B09BD" w:rsidRPr="00995A0B" w:rsidRDefault="00FA4297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FA4297">
              <w:rPr>
                <w:rFonts w:asciiTheme="majorBidi" w:hAnsiTheme="majorBidi" w:cstheme="majorBidi"/>
                <w:bCs/>
              </w:rPr>
              <w:t>Системы видеонаблюдения. Установка и эксплуатация. Основные положения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6DE30383" w:rsidR="0006618E" w:rsidRPr="00321A4B" w:rsidRDefault="00FA4297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Системы видеонаблюдения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536D75D9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</w:tbl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8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FC3C" w14:textId="77777777" w:rsidR="00B163ED" w:rsidRDefault="00B163ED" w:rsidP="00A16D7D">
      <w:r>
        <w:separator/>
      </w:r>
    </w:p>
  </w:endnote>
  <w:endnote w:type="continuationSeparator" w:id="0">
    <w:p w14:paraId="2F73E725" w14:textId="77777777" w:rsidR="00B163ED" w:rsidRDefault="00B163ED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0023" w14:textId="77777777" w:rsidR="00B163ED" w:rsidRDefault="00B163ED" w:rsidP="00A16D7D">
      <w:r>
        <w:separator/>
      </w:r>
    </w:p>
  </w:footnote>
  <w:footnote w:type="continuationSeparator" w:id="0">
    <w:p w14:paraId="163917BA" w14:textId="77777777" w:rsidR="00B163ED" w:rsidRDefault="00B163ED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5D6883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A406C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1042"/>
    <w:rsid w:val="00AA1289"/>
    <w:rsid w:val="00AA7743"/>
    <w:rsid w:val="00AC0269"/>
    <w:rsid w:val="00AC09A3"/>
    <w:rsid w:val="00AD092C"/>
    <w:rsid w:val="00AD6296"/>
    <w:rsid w:val="00AF2A1E"/>
    <w:rsid w:val="00B163ED"/>
    <w:rsid w:val="00B36A55"/>
    <w:rsid w:val="00B4416C"/>
    <w:rsid w:val="00B658AC"/>
    <w:rsid w:val="00B75A3A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B3CDC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DE429C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A4297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44</cp:revision>
  <cp:lastPrinted>2020-10-02T06:22:00Z</cp:lastPrinted>
  <dcterms:created xsi:type="dcterms:W3CDTF">2024-01-22T05:12:00Z</dcterms:created>
  <dcterms:modified xsi:type="dcterms:W3CDTF">2026-04-16T04:26:00Z</dcterms:modified>
</cp:coreProperties>
</file>