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4"/>
          <w:szCs w:val="24"/>
          <w:vertAlign w:val="baseline"/>
        </w:rPr>
      </w:pPr>
      <w:r w:rsidDel="00000000" w:rsidR="00000000" w:rsidRPr="00000000">
        <w:rPr>
          <w:rtl w:val="0"/>
        </w:rPr>
      </w:r>
    </w:p>
    <w:p w:rsidR="00000000" w:rsidDel="00000000" w:rsidP="00000000" w:rsidRDefault="00000000" w:rsidRPr="00000000" w14:paraId="00000002">
      <w:pPr>
        <w:jc w:val="center"/>
        <w:rPr>
          <w:b w:val="0"/>
          <w:sz w:val="24"/>
          <w:szCs w:val="24"/>
          <w:vertAlign w:val="baseline"/>
        </w:rPr>
      </w:pPr>
      <w:r w:rsidDel="00000000" w:rsidR="00000000" w:rsidRPr="00000000">
        <w:rPr>
          <w:b w:val="1"/>
          <w:sz w:val="24"/>
          <w:szCs w:val="24"/>
          <w:vertAlign w:val="baseline"/>
          <w:rtl w:val="0"/>
        </w:rPr>
        <w:t xml:space="preserve">Пояснительная записка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проекту рекомендаций по стандартизации Р РК «Туристские тропы. Общие требования»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left" w:pos="6645"/>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Техническое обоснование разработки документа по стандартизации</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left" w:pos="6645"/>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свете трагических событий с туристами в горах, появилась потребность в оцифровке троп для безопасности туристов. На данный момент активно обустраиваются туристские тропы различными стейкхолдерами в Казахстане, при этом, разный подход в классификации троп, дизайне и контенте, не приведенные в единообразие навигационные элементы, могут вводить туристов в заблуждение и быть причиной непредвиденных ситуаций в незнакомой местности. В целях обеспечения единообразия подходов в обустройстве туристических троп по всему Казахстану, крайне важны работы по стандартизации туристических троп, систематизировать их инфраструктурную оснащенность и маркировку.</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left" w:pos="6645"/>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тем, что в Республике Казахстан, на настоящий период, отсутствуют действующие нормативные документы по стандартизации, дублирующие нормы для объекта стандартизации туристские тропы, АО «НК «Kazakh Tourism», по итогам изучения международного опыта, предложено разработать рекомендаций по стандартизации Р РК «Туристские тропы. Общие требования».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left" w:pos="6645"/>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обеспечению единства измерений и подтверждению соответствия, способствующие применению соответствующего стандарта, или положения, которые целесообразно предварительно проверить на практике до их установления в стандарте.</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Основание для разработки документа по стандартизации с указанием соответствующего задания</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Объединенным проектным офисом Алматинского горного кластера разработан Руководство по дизайну горной навигации, который может быть использован в качестве основы для разработки рекомендаций по стандартизации. Проект документа в приложении к данной пояснительной записке.</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Характеристика объекта стандартизации</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Настоящие рекомендации по стандартизации распространяются на туристские тропы и устанавливают общие требования, касающиеся обеспечения безопасности жизни, здоровья, личной неприкосновенности туристов (экскурсантов) при совершении путешествий и экскурсий.</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Настоящие рекомендации по стандартизации предназначены для применения государственными органами</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другими заинтересованными сторонами с целью создания условий для улучшения безопасности посетителей в зонах массового отдыха, популярных туристских районах, пригородных лесах, государственных национальных природных парках и иных природоохранных учреждениях.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рекомендациями Экспертных заключений № 366 от 04.11.2022 года и № 366/1 от 14.12.2022 года статус национального стандарта СТ РК «Туристские тропы. Общие требования к маркировке пеших троп» заменен на статус «рекомендации по стандартизации».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с целью приведения в соответствие содержания документа по стандартизации его наименованию, было изменено наименование документа по стандартизации СТ РК «Туристские тропы. Общие требования к маркировке пеших троп» на Р РК «Туристские тропы. Общие требования».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Сведения о взаимосвязи проекта документа по стандартизации с техническими регламентами и документами по стандартизации</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РК 2149-2011 Знаки информационные туристские. Общие технические условия.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РК 2993-2017 Туристские услуги. Экологический туризм. Общие требования.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РК 3681-2020 Туристские услуги. Личная безопасность туриста.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РК ISO 7001-2015 Графические символы. Информационные символы для общественных мест.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28681.1-95 Туристско-экскурсионное обслуживание. Проектирование туристских услуг.</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32611-2014 Туристские услуги. Требования по обеспечению безопасности туристов.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32612-2014 Туристские услуги. Информация для потребителей. Общие требования.</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Предполагаемые пользователи проекта документа по стандартизации</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эффективного обустройства туристских троп государственным национальным природным паркам, местным исполнительным органам и организаторам зона массового отдыха необходимы рекомендации по стандартизации. В рекомендациях по стандартизации на туристские тропы на данный момент крайне заинтересованы управления туризма города Алматы и Алматинской области, также выразило заинтересованность Министерство экологии, геологии и природных ресурсов для применения на территории национальных парков.</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Сведения о рассылке проекта документа по стандартизации на согласование</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проект рекомендаций по стандартизации направлен на рассмотрение и согласование государственным органам, НПП РК «Атамекен», заинтересованным ассоциациям, союзам, предприятиям и организациям: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Комитет лесного хозяйства и животного мира Министерства экологии, геологии и природных ресурсов РК, Министерство культуры и спорта РК, Министерства экологии, геологии и природных ресурсов РК, КГУ «Управление туризма города Алматы», ГУ «Управление туризма Алматинской области», ГУ «Управление туризма Туркестанской области», ГУ «Управление предпринимательства и индустриально-инновационного развития Западно-Казахстанской области», ГУ «Управление физической культуры и спорта акимата Костанайской области», ГУ «Управление туризма Акмолинской области», ГУ «Управление физической культуры и спорта Карагандинской области», ГУ «Управление туризма акимата Жамбылской области», ГУ «Управление туризма и внешних связей Восточно-Казахстанской области», ГУ «Управление по развитию туризма и спорта Павлодарской области», ГУ «Управление туризма и внешних связей города Шымкент», ОЮЛ «Казахстанская ассоциация гостиниц и ресторанов», ОЮЛ «Казахстанская туристская ассоциация», Ассоциация Федераций спортивного туризма Республики Казахстан, ОО «Федерация Спортивного Туризма г.Алматы», Kazakhstan Alpine Club, Горный Клуб Алматы, ТОО «Карат», ТОО «Турфирма «Вояж»,</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РГУ «Государственный природный резерват «Акжаик» комитета лесного хозяйства и животного мира МСХ РК»,  ТОО «TARAZ TRAVEL», Частный фонд «Фонд содействия научным исследованиям» (ЧФ ФСНИ), ГУ "Государственный национальный природный парк "Бурабай" Управления делами Президента Республики Казахстан, ТОО «Жемчужина Синегорья», ТОО «Nika Tур».</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Информация о результатах научных исследований (испытаний) и измерений, документах по стандартизации и иных документах, на основе которых разрабатывается проект документа по стандартизации</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АО «НК «Kazakh Tourism» изучена система обустройства, стандартизации пеших троп в Швейцарии и оценена ее применимость в Казахстане в рамках исследования по определению стандартов оценки качества туристских услуг на основе изучения международного опыта. Дополнительно изучена. На основе изученных документов подготовлены критерии, согласно которым проведена оценка 5 туристских троп по определению категории и оценке качества троп: туристская тропа между нижним и средним озерами Кольсай в ГНПП «Көлсай Көлдері» (качество 3 из 14), туристская тропа в музее под открытым небом Танбалы (качество 12 из 14), туристская тропа «Долина Замков» в Чарынском ГНПП (качество 8 из 14), туристские тропы в Бутаковском ущелье (качество 9 из 14) и урочище Кок Жайлау (качество 9 из 14) в ГНПП «Иле-Алатау».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результате исследования разработан проект Правил классификации туристских троп, которые должны ссылаться на стандарты, предлагаемые к разработке.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объединенным проектным офисом Алматинского горного кластера разработано Руководство по дизайну горной навигации, где приведены требования по маркировке и благоустройству троп, требования к указателям направления, информационным щитам и информационным стендам.</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Данные о разработчике и соисполнителях (контактные данные), сроках разработки проекта документа по стандартизации</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Акционерное общество «Национальная компания «Kazakh Tourism», Юридический адрес: Республика Казахстан, 010000, город Астана район Есиль, проспект Мәңгілік Ел, дом 55/14, офис-222, Тел: +7(717)</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39-99-56, эл/адрес:</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a.shaimova@qaztourism.kz</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Управляющий директор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Сержанулы</w:t>
      </w:r>
    </w:p>
    <w:sectPr>
      <w:footerReference r:id="rId7" w:type="default"/>
      <w:footerReference r:id="rId8" w:type="even"/>
      <w:pgSz w:h="16838" w:w="11906" w:orient="portrait"/>
      <w:pgMar w:bottom="709" w:top="426"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Chars="-1" w:rightChars="0" w:firstLine="720" w:firstLineChars="-1"/>
      <w:jc w:val="both"/>
      <w:textDirection w:val="btLr"/>
      <w:textAlignment w:val="top"/>
      <w:outlineLvl w:val="0"/>
    </w:pPr>
    <w:rPr>
      <w:b w:val="1"/>
      <w:w w:val="100"/>
      <w:position w:val="-1"/>
      <w:sz w:val="28"/>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line="1" w:lineRule="atLeast"/>
      <w:ind w:leftChars="-1" w:rightChars="0" w:firstLineChars="-1"/>
      <w:jc w:val="center"/>
      <w:textDirection w:val="btLr"/>
      <w:textAlignment w:val="top"/>
      <w:outlineLvl w:val="0"/>
    </w:pPr>
    <w:rPr>
      <w:b w:val="1"/>
      <w:i w:val="1"/>
      <w:w w:val="100"/>
      <w:position w:val="-1"/>
      <w:sz w:val="32"/>
      <w:effect w:val="none"/>
      <w:vertAlign w:val="baseline"/>
      <w:cs w:val="0"/>
      <w:em w:val="none"/>
      <w:lang w:bidi="ar-SA" w:eastAsia="ru-RU" w:val="ru-RU"/>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1ЗнакЗнакЗнакЗнакЗнакЗнакЗнак">
    <w:name w:val="1 Знак Знак Знак Знак Знак Знак Знак"/>
    <w:basedOn w:val="Обычный"/>
    <w:next w:val="1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ЗнакЗнакЗнак0">
    <w:name w:val="Знак Знак Знак"/>
    <w:basedOn w:val="Обычный"/>
    <w:next w:val="ЗнакЗнакЗнак0"/>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Цитата">
    <w:name w:val="Цитата"/>
    <w:basedOn w:val="Обычный"/>
    <w:next w:val="Цитата"/>
    <w:autoRedefine w:val="0"/>
    <w:hidden w:val="0"/>
    <w:qFormat w:val="0"/>
    <w:pPr>
      <w:suppressAutoHyphens w:val="1"/>
      <w:spacing w:line="1" w:lineRule="atLeast"/>
      <w:ind w:left="4140" w:right="-5" w:leftChars="-1" w:rightChars="0" w:firstLineChars="-1"/>
      <w:jc w:val="both"/>
      <w:textDirection w:val="btLr"/>
      <w:textAlignment w:val="top"/>
      <w:outlineLvl w:val="0"/>
    </w:pPr>
    <w:rPr>
      <w:b w:val="1"/>
      <w:w w:val="100"/>
      <w:position w:val="-1"/>
      <w:sz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ЗнакЗнакЗнакЗнакЗнакЗнакЗнакЗнакЗнак">
    <w:name w:val="Знак Знак Знак Знак Знак Знак Знак Знак Знак"/>
    <w:basedOn w:val="Обычный"/>
    <w:next w:val="ЗнакЗнак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bCs w:val="1"/>
      <w:w w:val="100"/>
      <w:position w:val="-1"/>
      <w:sz w:val="28"/>
      <w:szCs w:val="28"/>
      <w:effect w:val="none"/>
      <w:vertAlign w:val="baseline"/>
      <w:cs w:val="0"/>
      <w:em w:val="none"/>
      <w:lang w:bidi="ar-SA" w:eastAsia="en-US" w:val="en-US"/>
    </w:rPr>
  </w:style>
  <w:style w:type="character" w:styleId="s1">
    <w:name w:val="s1"/>
    <w:next w:val="s1"/>
    <w:autoRedefine w:val="0"/>
    <w:hidden w:val="0"/>
    <w:qFormat w:val="0"/>
    <w:rPr>
      <w:rFonts w:ascii="Times New Roman" w:cs="Times New Roman" w:hAnsi="Times New Roman" w:hint="default"/>
      <w:b w:val="1"/>
      <w:bCs w:val="1"/>
      <w:color w:val="000000"/>
      <w:w w:val="100"/>
      <w:position w:val="-1"/>
      <w:sz w:val="24"/>
      <w:szCs w:val="24"/>
      <w:u w:val="none"/>
      <w:effect w:val="none"/>
      <w:vertAlign w:val="baseline"/>
      <w:cs w:val="0"/>
      <w:em w:val="none"/>
      <w:lang/>
    </w:rPr>
  </w:style>
  <w:style w:type="paragraph" w:styleId="Текстсноски">
    <w:name w:val="Текст сноски"/>
    <w:basedOn w:val="Обычный"/>
    <w:next w:val="Текстсноски"/>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ru-RU" w:val="ru-RU"/>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ЗнакЗнакЗнак1ЗнакЗнакЗнакЗнакЗнакЗнакЗнак">
    <w:name w:val="Знак Знак Знак1 Знак Знак Знак Знак Знак Знак Знак"/>
    <w:basedOn w:val="Обычный"/>
    <w:next w:val="ЗнакЗнакЗнак1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ЗнакЗнакЗнакЗнак">
    <w:name w:val="Знак Знак Знак Знак"/>
    <w:basedOn w:val="Обычный"/>
    <w:next w:val="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bCs w:val="1"/>
      <w:w w:val="100"/>
      <w:position w:val="-1"/>
      <w:sz w:val="28"/>
      <w:szCs w:val="28"/>
      <w:effect w:val="none"/>
      <w:vertAlign w:val="baseline"/>
      <w:cs w:val="0"/>
      <w:em w:val="none"/>
      <w:lang w:bidi="ar-SA" w:eastAsia="en-US" w:val="en-US"/>
    </w:rPr>
  </w:style>
  <w:style w:type="paragraph" w:styleId="ЗнакЗнакЗнак1ЗнакЗнакЗнакЗнакЗнакЗнакЗнакЗнакЗнакЗнакЗнакЗнакЗнакЗнакЗнакЗнакЗнакЗнакЗнакЗнакЗнакЗнак">
    <w:name w:val="Знак Знак Знак1 Знак Знак Знак Знак Знак Знак Знак Знак Знак Знак Знак Знак Знак Знак Знак Знак Знак Знак Знак Знак Знак Знак"/>
    <w:basedOn w:val="Обычный"/>
    <w:next w:val="ЗнакЗнакЗнак1ЗнакЗнакЗнакЗнакЗнакЗнакЗнакЗнакЗнакЗнакЗнакЗнакЗнакЗнакЗнак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Style21">
    <w:name w:val="Style21"/>
    <w:basedOn w:val="Обычный"/>
    <w:next w:val="Style2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Unicode MS" w:cs="Arial Unicode MS" w:hAnsi="Calibri"/>
      <w:w w:val="100"/>
      <w:position w:val="-1"/>
      <w:sz w:val="24"/>
      <w:szCs w:val="24"/>
      <w:effect w:val="none"/>
      <w:vertAlign w:val="baseline"/>
      <w:cs w:val="0"/>
      <w:em w:val="none"/>
      <w:lang w:bidi="ar-SA" w:eastAsia="ru-RU" w:val="ru-RU"/>
    </w:rPr>
  </w:style>
  <w:style w:type="character" w:styleId="FontStyle55">
    <w:name w:val="Font Style55"/>
    <w:next w:val="FontStyle55"/>
    <w:autoRedefine w:val="0"/>
    <w:hidden w:val="0"/>
    <w:qFormat w:val="0"/>
    <w:rPr>
      <w:rFonts w:ascii="Arial Unicode MS" w:cs="Arial Unicode MS" w:eastAsia="Times New Roman"/>
      <w:color w:val="000000"/>
      <w:w w:val="100"/>
      <w:position w:val="-1"/>
      <w:sz w:val="16"/>
      <w:szCs w:val="16"/>
      <w:effect w:val="none"/>
      <w:vertAlign w:val="baseline"/>
      <w:cs w:val="0"/>
      <w:em w:val="none"/>
      <w:lang/>
    </w:rPr>
  </w:style>
  <w:style w:type="paragraph" w:styleId="ЗнакЗнакЗнак">
    <w:name w:val="Знак Знак Знак"/>
    <w:basedOn w:val="Обычный"/>
    <w:next w:val="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ru-RU" w:val="ru-RU"/>
    </w:rPr>
  </w:style>
  <w:style w:type="character" w:styleId="АбзацспискаЗнак">
    <w:name w:val="Абзац списка Знак"/>
    <w:next w:val="АбзацспискаЗнак"/>
    <w:autoRedefine w:val="0"/>
    <w:hidden w:val="0"/>
    <w:qFormat w:val="0"/>
    <w:rPr>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effect w:val="none"/>
      <w:vertAlign w:val="baseline"/>
      <w:cs w:val="0"/>
      <w:em w:val="none"/>
      <w:lang/>
    </w:rPr>
  </w:style>
  <w:style w:type="paragraph" w:styleId="Рецензия">
    <w:name w:val="Рецензия"/>
    <w:next w:val="Рецензия"/>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сотступом3Знак">
    <w:name w:val="Основной текст с отступом 3 Знак"/>
    <w:next w:val="Основнойтекстсотступом3Знак"/>
    <w:autoRedefine w:val="0"/>
    <w:hidden w:val="0"/>
    <w:qFormat w:val="0"/>
    <w:rPr>
      <w:w w:val="100"/>
      <w:position w:val="-1"/>
      <w:sz w:val="16"/>
      <w:szCs w:val="16"/>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u-RU"/>
    </w:rPr>
  </w:style>
  <w:style w:type="character" w:styleId="FontStyle48">
    <w:name w:val="Font Style48"/>
    <w:next w:val="FontStyle48"/>
    <w:autoRedefine w:val="0"/>
    <w:hidden w:val="0"/>
    <w:qFormat w:val="0"/>
    <w:rPr>
      <w:rFonts w:ascii="Segoe UI" w:cs="Segoe UI" w:hAnsi="Segoe UI"/>
      <w:color w:val="000000"/>
      <w:w w:val="100"/>
      <w:position w:val="-1"/>
      <w:sz w:val="18"/>
      <w:szCs w:val="18"/>
      <w:effect w:val="none"/>
      <w:vertAlign w:val="baseline"/>
      <w:cs w:val="0"/>
      <w:em w:val="none"/>
      <w:lang/>
    </w:rPr>
  </w:style>
  <w:style w:type="character" w:styleId="Основнойтекст3Знак">
    <w:name w:val="Основной текст 3 Знак"/>
    <w:next w:val="Основнойтекст3Знак"/>
    <w:autoRedefine w:val="0"/>
    <w:hidden w:val="0"/>
    <w:qFormat w:val="0"/>
    <w:rPr>
      <w:b w:val="1"/>
      <w:i w:val="1"/>
      <w:w w:val="100"/>
      <w:position w:val="-1"/>
      <w:sz w:val="32"/>
      <w:effect w:val="none"/>
      <w:vertAlign w:val="baseline"/>
      <w:cs w:val="0"/>
      <w:em w:val="none"/>
      <w:lang/>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w w:val="100"/>
      <w:position w:val="-1"/>
      <w:effect w:val="none"/>
      <w:vertAlign w:val="baseline"/>
      <w:cs w:val="0"/>
      <w:em w:val="none"/>
      <w:lang/>
    </w:rPr>
  </w:style>
  <w:style w:type="paragraph" w:styleId="Темапримечания">
    <w:name w:val="Тема примечания"/>
    <w:basedOn w:val="Текстпримечания"/>
    <w:next w:val="Текстпримечания"/>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ru-RU" w:val="ru-RU"/>
    </w:rPr>
  </w:style>
  <w:style w:type="character" w:styleId="ТемапримечанияЗнак">
    <w:name w:val="Тема примечания Знак"/>
    <w:next w:val="ТемапримечанияЗнак"/>
    <w:autoRedefine w:val="0"/>
    <w:hidden w:val="0"/>
    <w:qFormat w:val="0"/>
    <w:rPr>
      <w:b w:val="1"/>
      <w:bCs w:val="1"/>
      <w:w w:val="100"/>
      <w:position w:val="-1"/>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En+QizAnmfljgYG2qV5rcgsdMQ==">AMUW2mVzY/Wsm1wc6ZttTmYG86/bd+6cXIeRRbtQLRbzVk4NsPXYQ6MWkMrMs+N+WeMmOQZ7ej4DfQ2VxbSysbUw0Iqw4AyX92G6X0vsd7o+vo88kfoWyoYYgtTESUuaUYZBapJVSxiwFZ4MyTY5exF5gfCfWIjynw==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2011-03-17T05:27:00Z</dcterms:created>
  <dc:creator>Balgan</dc:creator>
</cp:coreProperties>
</file>