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8.xml" ContentType="application/vnd.openxmlformats-officedocument.wordprocessingml.footer+xml"/>
  <Override PartName="/word/footer15.xml" ContentType="application/vnd.openxmlformats-officedocument.wordprocessingml.footer+xml"/>
  <Override PartName="/word/footer12.xml" ContentType="application/vnd.openxmlformats-officedocument.wordprocessingml.footer+xml"/>
  <Override PartName="/word/footer11.xml" ContentType="application/vnd.openxmlformats-officedocument.wordprocessingml.footer+xml"/>
  <Override PartName="/word/footer16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docProps/core.xml" ContentType="application/vnd.openxmlformats-package.core-properties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14.xml" ContentType="application/vnd.openxmlformats-officedocument.wordprocessingml.footer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er17.xml" ContentType="application/vnd.openxmlformats-officedocument.wordprocessingml.footer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9.xml" ContentType="application/vnd.openxmlformats-officedocument.wordprocessingml.footer+xml"/>
  <Override PartName="/word/footer13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>
        <w:rPr>
          <w:highlight w:val="none"/>
          <w:lang w:val="en-US"/>
        </w:rPr>
      </w:r>
      <w:r>
        <w:rPr>
          <w:highlight w:val="none"/>
          <w:lang w:val="en-US"/>
        </w:rPr>
      </w:r>
      <w:r>
        <w:rPr>
          <w:highlight w:val="none"/>
        </w:rPr>
      </w:r>
    </w:p>
    <w:tbl>
      <w:tblPr>
        <w:tblStyle w:val="1864"/>
        <w:tblpPr w:horzAnchor="margin" w:tblpXSpec="center" w:vertAnchor="margin" w:tblpY="-217" w:leftFromText="180" w:topFromText="0" w:rightFromText="180" w:bottomFromText="0"/>
        <w:tblW w:w="9661" w:type="dxa"/>
        <w:tblLayout w:type="fixed"/>
        <w:tblLook w:val="04A0" w:firstRow="1" w:lastRow="0" w:firstColumn="1" w:lastColumn="0" w:noHBand="0" w:noVBand="1"/>
      </w:tblPr>
      <w:tblGrid>
        <w:gridCol w:w="2410"/>
        <w:gridCol w:w="4815"/>
        <w:gridCol w:w="2436"/>
      </w:tblGrid>
      <w:tr>
        <w:tblPrEx/>
        <w:trPr>
          <w:trHeight w:val="2150"/>
        </w:trPr>
        <w:tc>
          <w:tcPr>
            <w:gridSpan w:val="3"/>
            <w:tcBorders>
              <w:top w:val="single" w:color="auto" w:sz="36" w:space="0"/>
              <w:left w:val="none" w:color="000000" w:sz="4" w:space="0"/>
              <w:right w:val="none" w:color="000000" w:sz="4" w:space="0"/>
            </w:tcBorders>
            <w:tcW w:w="9661" w:type="dxa"/>
            <w:textDirection w:val="lrTb"/>
            <w:noWrap w:val="false"/>
          </w:tcPr>
          <w:p>
            <w:pPr>
              <w:jc w:val="center"/>
              <w:spacing w:before="200"/>
              <w:rPr>
                <w:rFonts w:ascii="Arial" w:hAnsi="Arial" w:cs="Arial"/>
                <w:b/>
                <w:bCs/>
                <w:color w:val="333333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333333"/>
                <w:highlight w:val="none"/>
              </w:rPr>
              <w:t xml:space="preserve">МЕЖГОСУДАРСТВЕННЫЙ СОВЕТ ПО СТАНДАРТИЗАЦИИ, МЕТРОЛОГИИ И СЕРТИФИКАЦИИ</w:t>
            </w:r>
            <w:r>
              <w:rPr>
                <w:rFonts w:ascii="Arial" w:hAnsi="Arial" w:cs="Arial"/>
                <w:b/>
                <w:bCs/>
                <w:color w:val="333333"/>
                <w:highlight w:val="none"/>
              </w:rPr>
            </w:r>
            <w:r>
              <w:rPr>
                <w:rFonts w:ascii="Arial" w:hAnsi="Arial" w:cs="Arial"/>
                <w:b/>
                <w:bCs/>
                <w:color w:val="333333"/>
                <w:highlight w:val="none"/>
              </w:rPr>
            </w:r>
          </w:p>
          <w:p>
            <w:pPr>
              <w:jc w:val="center"/>
              <w:spacing w:before="200"/>
              <w:rPr>
                <w:rFonts w:ascii="Arial" w:hAnsi="Arial" w:cs="Arial"/>
                <w:b/>
                <w:bCs/>
                <w:color w:val="333333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333333"/>
                <w:highlight w:val="none"/>
                <w:lang w:val="en-US"/>
              </w:rPr>
              <w:t xml:space="preserve">(</w:t>
            </w:r>
            <w:r>
              <w:rPr>
                <w:rFonts w:ascii="Arial" w:hAnsi="Arial" w:cs="Arial"/>
                <w:b/>
                <w:bCs/>
                <w:color w:val="333333"/>
                <w:highlight w:val="none"/>
              </w:rPr>
              <w:t xml:space="preserve">МГС</w:t>
            </w:r>
            <w:r>
              <w:rPr>
                <w:rFonts w:ascii="Arial" w:hAnsi="Arial" w:cs="Arial"/>
                <w:b/>
                <w:bCs/>
                <w:color w:val="333333"/>
                <w:highlight w:val="none"/>
                <w:lang w:val="en-US"/>
              </w:rPr>
              <w:t xml:space="preserve">)</w:t>
            </w:r>
            <w:r>
              <w:rPr>
                <w:rFonts w:ascii="Arial" w:hAnsi="Arial" w:cs="Arial"/>
                <w:b/>
                <w:bCs/>
                <w:color w:val="333333"/>
                <w:highlight w:val="none"/>
                <w:lang w:val="en-US"/>
              </w:rPr>
            </w:r>
            <w:r>
              <w:rPr>
                <w:rFonts w:ascii="Arial" w:hAnsi="Arial" w:cs="Arial"/>
                <w:b/>
                <w:bCs/>
                <w:color w:val="333333"/>
                <w:highlight w:val="none"/>
              </w:rPr>
            </w:r>
          </w:p>
          <w:p>
            <w:pPr>
              <w:jc w:val="center"/>
              <w:spacing w:before="200"/>
              <w:rPr>
                <w:rFonts w:ascii="Arial" w:hAnsi="Arial" w:cs="Arial"/>
                <w:b/>
                <w:bCs/>
                <w:color w:val="333333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333333"/>
                <w:highlight w:val="none"/>
                <w:lang w:val="en-US"/>
              </w:rPr>
              <w:t xml:space="preserve">INTERSTATE COUNCIL FOR STANDARDIZATION, METROLOGY AND CERTIFICATION</w:t>
            </w:r>
            <w:r>
              <w:rPr>
                <w:rFonts w:ascii="Arial" w:hAnsi="Arial" w:cs="Arial"/>
                <w:b/>
                <w:bCs/>
                <w:color w:val="333333"/>
                <w:highlight w:val="none"/>
                <w:lang w:val="en-US"/>
              </w:rPr>
            </w:r>
            <w:r>
              <w:rPr>
                <w:rFonts w:ascii="Arial" w:hAnsi="Arial" w:cs="Arial"/>
                <w:b/>
                <w:bCs/>
                <w:color w:val="333333"/>
                <w:highlight w:val="none"/>
              </w:rPr>
            </w:r>
          </w:p>
          <w:p>
            <w:pPr>
              <w:jc w:val="center"/>
              <w:spacing w:before="200"/>
              <w:rPr>
                <w:rFonts w:cs="Arial"/>
                <w:b/>
                <w:bCs/>
                <w:color w:val="333333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333333"/>
                <w:highlight w:val="none"/>
                <w:lang w:val="en-US"/>
              </w:rPr>
              <w:t xml:space="preserve">(ISC)</w:t>
            </w:r>
            <w:r>
              <w:rPr>
                <w:rFonts w:cs="Arial"/>
                <w:b/>
                <w:bCs/>
                <w:color w:val="333333"/>
                <w:szCs w:val="24"/>
                <w:highlight w:val="none"/>
                <w:lang w:val="en-US"/>
              </w:rPr>
            </w:r>
            <w:r>
              <w:rPr>
                <w:rFonts w:cs="Arial"/>
                <w:b/>
                <w:bCs/>
                <w:color w:val="333333"/>
                <w:szCs w:val="24"/>
                <w:highlight w:val="none"/>
              </w:rPr>
            </w:r>
          </w:p>
        </w:tc>
      </w:tr>
      <w:tr>
        <w:tblPrEx/>
        <w:trPr>
          <w:trHeight w:val="2150"/>
        </w:trPr>
        <w:tc>
          <w:tcPr>
            <w:tcBorders>
              <w:top w:val="single" w:color="auto" w:sz="36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333333"/>
                <w:spacing w:val="40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333333"/>
                <w:spacing w:val="40"/>
                <w:szCs w:val="24"/>
                <w:highlight w:val="none"/>
              </w:rPr>
            </w:r>
            <w:r>
              <w:rPr>
                <w:rFonts w:ascii="Arial" w:hAnsi="Arial" w:cs="Arial"/>
                <w:b/>
                <w:bCs/>
                <w:color w:val="333333"/>
                <w:spacing w:val="40"/>
                <w:szCs w:val="24"/>
                <w:highlight w:val="none"/>
              </w:rPr>
            </w:r>
            <w:r>
              <w:rPr>
                <w:rFonts w:ascii="Arial" w:hAnsi="Arial" w:cs="Arial"/>
                <w:b/>
                <w:bCs/>
                <w:color w:val="333333"/>
                <w:spacing w:val="40"/>
                <w:szCs w:val="24"/>
                <w:highlight w:val="none"/>
              </w:rPr>
            </w:r>
          </w:p>
        </w:tc>
        <w:tc>
          <w:tcPr>
            <w:tcBorders>
              <w:top w:val="single" w:color="auto" w:sz="36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48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333333"/>
                <w:spacing w:val="40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333333"/>
                <w:spacing w:val="40"/>
                <w:szCs w:val="24"/>
                <w:highlight w:val="none"/>
              </w:rPr>
              <w:t xml:space="preserve">МЕЖГОСУДАРСТВЕННЫЙ </w:t>
            </w:r>
            <w:r>
              <w:rPr>
                <w:rFonts w:ascii="Arial" w:hAnsi="Arial" w:cs="Arial"/>
                <w:b/>
                <w:bCs/>
                <w:color w:val="333333"/>
                <w:spacing w:val="40"/>
                <w:szCs w:val="24"/>
                <w:highlight w:val="none"/>
              </w:rPr>
            </w:r>
            <w:r>
              <w:rPr>
                <w:rFonts w:ascii="Arial" w:hAnsi="Arial" w:cs="Arial"/>
                <w:b/>
                <w:bCs/>
                <w:color w:val="333333"/>
                <w:spacing w:val="40"/>
                <w:szCs w:val="24"/>
                <w:highlight w:val="none"/>
              </w:rPr>
            </w:r>
          </w:p>
          <w:p>
            <w:pPr>
              <w:jc w:val="center"/>
              <w:rPr>
                <w:rFonts w:cs="Arial"/>
                <w:color w:val="333333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333333"/>
                <w:spacing w:val="40"/>
                <w:szCs w:val="24"/>
                <w:highlight w:val="none"/>
              </w:rPr>
              <w:t xml:space="preserve">СТАНДАРТ</w:t>
            </w:r>
            <w:r>
              <w:rPr>
                <w:rFonts w:cs="Arial"/>
                <w:color w:val="333333"/>
                <w:szCs w:val="24"/>
                <w:highlight w:val="none"/>
              </w:rPr>
            </w:r>
            <w:r>
              <w:rPr>
                <w:rFonts w:cs="Arial"/>
                <w:color w:val="333333"/>
                <w:szCs w:val="24"/>
                <w:highlight w:val="none"/>
              </w:rPr>
            </w:r>
          </w:p>
        </w:tc>
        <w:tc>
          <w:tcPr>
            <w:tcBorders>
              <w:top w:val="single" w:color="auto" w:sz="36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2436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40"/>
                <w:szCs w:val="40"/>
                <w:highlight w:val="none"/>
              </w:rPr>
            </w:pPr>
            <w:r>
              <w:rPr>
                <w:rFonts w:ascii="Arial" w:hAnsi="Arial" w:cs="Arial"/>
                <w:b/>
                <w:sz w:val="40"/>
                <w:szCs w:val="40"/>
                <w:highlight w:val="none"/>
              </w:rPr>
              <w:t xml:space="preserve">ГОСТ 33979</w:t>
            </w:r>
            <w:r>
              <w:rPr>
                <w:rFonts w:ascii="Arial" w:hAnsi="Arial" w:cs="Arial"/>
                <w:b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b/>
                <w:sz w:val="40"/>
                <w:szCs w:val="40"/>
                <w:highlight w:val="none"/>
              </w:rPr>
            </w:r>
          </w:p>
          <w:p>
            <w:pPr>
              <w:rPr>
                <w:rFonts w:ascii="Arial" w:hAnsi="Arial" w:cs="Arial"/>
                <w:bCs/>
                <w:i/>
                <w:sz w:val="36"/>
                <w:szCs w:val="36"/>
                <w:highlight w:val="none"/>
              </w:rPr>
            </w:pPr>
            <w:r>
              <w:rPr>
                <w:rFonts w:ascii="Arial" w:hAnsi="Arial" w:cs="Arial"/>
                <w:bCs/>
                <w:i/>
                <w:sz w:val="36"/>
                <w:szCs w:val="36"/>
                <w:highlight w:val="none"/>
              </w:rPr>
              <w:t xml:space="preserve">(проект RU, окончательная редакция)</w:t>
            </w:r>
            <w:r>
              <w:rPr>
                <w:rFonts w:ascii="Arial" w:hAnsi="Arial" w:cs="Arial"/>
                <w:bCs/>
                <w:i/>
                <w:sz w:val="36"/>
                <w:szCs w:val="36"/>
                <w:highlight w:val="none"/>
              </w:rPr>
            </w:r>
            <w:r>
              <w:rPr>
                <w:rFonts w:ascii="Arial" w:hAnsi="Arial" w:cs="Arial"/>
                <w:bCs/>
                <w:i/>
                <w:sz w:val="36"/>
                <w:szCs w:val="36"/>
                <w:highlight w:val="none"/>
              </w:rPr>
            </w:r>
          </w:p>
        </w:tc>
      </w:tr>
    </w:tbl>
    <w:p>
      <w:pPr>
        <w:jc w:val="center"/>
        <w:rPr>
          <w:rFonts w:ascii="Arial" w:hAnsi="Arial" w:cs="Arial"/>
          <w:color w:val="333333"/>
          <w:sz w:val="36"/>
          <w:szCs w:val="36"/>
          <w:highlight w:val="none"/>
        </w:rPr>
      </w:pPr>
      <w:r>
        <w:rPr>
          <w:rFonts w:ascii="Arial" w:hAnsi="Arial" w:cs="Arial"/>
          <w:color w:val="333333"/>
          <w:sz w:val="36"/>
          <w:szCs w:val="36"/>
          <w:highlight w:val="none"/>
        </w:rPr>
      </w:r>
      <w:r>
        <w:rPr>
          <w:rFonts w:ascii="Arial" w:hAnsi="Arial" w:cs="Arial"/>
          <w:color w:val="333333"/>
          <w:sz w:val="36"/>
          <w:szCs w:val="36"/>
          <w:highlight w:val="none"/>
        </w:rPr>
      </w:r>
      <w:r>
        <w:rPr>
          <w:rFonts w:ascii="Arial" w:hAnsi="Arial" w:cs="Arial"/>
          <w:color w:val="333333"/>
          <w:sz w:val="36"/>
          <w:szCs w:val="36"/>
          <w:highlight w:val="none"/>
        </w:rPr>
      </w:r>
    </w:p>
    <w:p>
      <w:pPr>
        <w:rPr>
          <w:rFonts w:ascii="Arial" w:hAnsi="Arial" w:cs="Arial"/>
          <w:color w:val="333333"/>
          <w:sz w:val="36"/>
          <w:szCs w:val="36"/>
          <w:highlight w:val="none"/>
        </w:rPr>
      </w:pPr>
      <w:r>
        <w:rPr>
          <w:rFonts w:ascii="Arial" w:hAnsi="Arial" w:cs="Arial"/>
          <w:color w:val="333333"/>
          <w:sz w:val="36"/>
          <w:szCs w:val="36"/>
          <w:highlight w:val="none"/>
        </w:rPr>
      </w:r>
      <w:r>
        <w:rPr>
          <w:rFonts w:ascii="Arial" w:hAnsi="Arial" w:cs="Arial"/>
          <w:color w:val="333333"/>
          <w:sz w:val="36"/>
          <w:szCs w:val="36"/>
          <w:highlight w:val="none"/>
        </w:rPr>
      </w:r>
      <w:r>
        <w:rPr>
          <w:rFonts w:ascii="Arial" w:hAnsi="Arial" w:cs="Arial"/>
          <w:color w:val="333333"/>
          <w:sz w:val="36"/>
          <w:szCs w:val="36"/>
          <w:highlight w:val="none"/>
        </w:rPr>
      </w:r>
    </w:p>
    <w:p>
      <w:pPr>
        <w:jc w:val="center"/>
        <w:rPr>
          <w:rFonts w:ascii="Arial" w:hAnsi="Arial" w:cs="Arial"/>
          <w:b/>
          <w:bCs/>
          <w:color w:val="333333"/>
          <w:sz w:val="36"/>
          <w:szCs w:val="36"/>
          <w:highlight w:val="none"/>
        </w:rPr>
      </w:pPr>
      <w:r>
        <w:rPr>
          <w:rFonts w:ascii="Arial" w:hAnsi="Arial" w:cs="Arial"/>
          <w:b/>
          <w:bCs/>
          <w:color w:val="333333"/>
          <w:sz w:val="36"/>
          <w:szCs w:val="36"/>
          <w:highlight w:val="none"/>
        </w:rPr>
        <w:t xml:space="preserve">Системы газораспределительные</w:t>
      </w:r>
      <w:r>
        <w:rPr>
          <w:rFonts w:ascii="Arial" w:hAnsi="Arial" w:cs="Arial"/>
          <w:b/>
          <w:bCs/>
          <w:color w:val="333333"/>
          <w:sz w:val="36"/>
          <w:szCs w:val="36"/>
          <w:highlight w:val="none"/>
        </w:rPr>
      </w:r>
      <w:r>
        <w:rPr>
          <w:rFonts w:ascii="Arial" w:hAnsi="Arial" w:cs="Arial"/>
          <w:b/>
          <w:bCs/>
          <w:color w:val="333333"/>
          <w:sz w:val="36"/>
          <w:szCs w:val="36"/>
          <w:highlight w:val="none"/>
        </w:rPr>
      </w:r>
    </w:p>
    <w:p>
      <w:pPr>
        <w:jc w:val="center"/>
        <w:rPr>
          <w:rFonts w:ascii="Arial" w:hAnsi="Arial" w:cs="Arial"/>
          <w:b/>
          <w:bCs/>
          <w:color w:val="333333"/>
          <w:sz w:val="36"/>
          <w:szCs w:val="36"/>
          <w:highlight w:val="none"/>
        </w:rPr>
      </w:pPr>
      <w:r>
        <w:rPr>
          <w:rFonts w:ascii="Arial" w:hAnsi="Arial" w:cs="Arial"/>
          <w:b/>
          <w:bCs/>
          <w:color w:val="333333"/>
          <w:sz w:val="36"/>
          <w:szCs w:val="36"/>
          <w:highlight w:val="none"/>
        </w:rPr>
      </w:r>
      <w:r>
        <w:rPr>
          <w:rFonts w:ascii="Arial" w:hAnsi="Arial" w:cs="Arial"/>
          <w:b/>
          <w:bCs/>
          <w:color w:val="333333"/>
          <w:sz w:val="36"/>
          <w:szCs w:val="36"/>
          <w:highlight w:val="none"/>
        </w:rPr>
      </w:r>
      <w:r>
        <w:rPr>
          <w:rFonts w:ascii="Arial" w:hAnsi="Arial" w:cs="Arial"/>
          <w:b/>
          <w:bCs/>
          <w:color w:val="333333"/>
          <w:sz w:val="36"/>
          <w:szCs w:val="36"/>
          <w:highlight w:val="none"/>
        </w:rPr>
      </w:r>
    </w:p>
    <w:p>
      <w:pPr>
        <w:jc w:val="center"/>
        <w:rPr>
          <w:rFonts w:ascii="Arial" w:hAnsi="Arial" w:cs="Arial"/>
          <w:b/>
          <w:bCs/>
          <w:color w:val="333333"/>
          <w:sz w:val="36"/>
          <w:szCs w:val="36"/>
          <w:highlight w:val="none"/>
        </w:rPr>
      </w:pPr>
      <w:r>
        <w:rPr>
          <w:rFonts w:ascii="Arial" w:hAnsi="Arial" w:cs="Arial"/>
          <w:b/>
          <w:bCs/>
          <w:color w:val="333333"/>
          <w:sz w:val="36"/>
          <w:szCs w:val="36"/>
          <w:highlight w:val="none"/>
        </w:rPr>
        <w:t xml:space="preserve">СИСТЕМЫ УПРАВЛЕНИЯ СЕТЯМИ </w:t>
      </w:r>
      <w:r>
        <w:rPr>
          <w:rFonts w:ascii="Arial" w:hAnsi="Arial" w:cs="Arial"/>
          <w:b/>
          <w:bCs/>
          <w:color w:val="333333"/>
          <w:sz w:val="36"/>
          <w:szCs w:val="36"/>
          <w:highlight w:val="none"/>
        </w:rPr>
      </w:r>
      <w:r>
        <w:rPr>
          <w:rFonts w:ascii="Arial" w:hAnsi="Arial" w:cs="Arial"/>
          <w:b/>
          <w:bCs/>
          <w:color w:val="333333"/>
          <w:sz w:val="36"/>
          <w:szCs w:val="36"/>
          <w:highlight w:val="none"/>
        </w:rPr>
      </w:r>
    </w:p>
    <w:p>
      <w:pPr>
        <w:jc w:val="center"/>
        <w:rPr>
          <w:rFonts w:ascii="Arial" w:hAnsi="Arial" w:cs="Arial"/>
          <w:b/>
          <w:bCs/>
          <w:color w:val="333333"/>
          <w:sz w:val="36"/>
          <w:szCs w:val="36"/>
          <w:highlight w:val="none"/>
        </w:rPr>
      </w:pPr>
      <w:r>
        <w:rPr>
          <w:rFonts w:ascii="Arial" w:hAnsi="Arial" w:cs="Arial"/>
          <w:b/>
          <w:bCs/>
          <w:color w:val="333333"/>
          <w:sz w:val="36"/>
          <w:szCs w:val="36"/>
          <w:highlight w:val="none"/>
        </w:rPr>
        <w:t xml:space="preserve">ГАЗОРАСПРЕДЕЛЕНИЯ</w:t>
      </w:r>
      <w:r>
        <w:rPr>
          <w:rFonts w:ascii="Arial" w:hAnsi="Arial" w:cs="Arial"/>
          <w:b/>
          <w:bCs/>
          <w:color w:val="333333"/>
          <w:sz w:val="36"/>
          <w:szCs w:val="36"/>
          <w:highlight w:val="none"/>
        </w:rPr>
      </w:r>
      <w:r>
        <w:rPr>
          <w:rFonts w:ascii="Arial" w:hAnsi="Arial" w:cs="Arial"/>
          <w:b/>
          <w:bCs/>
          <w:color w:val="333333"/>
          <w:sz w:val="36"/>
          <w:szCs w:val="36"/>
          <w:highlight w:val="none"/>
        </w:rPr>
      </w:r>
    </w:p>
    <w:p>
      <w:pPr>
        <w:jc w:val="center"/>
        <w:rPr>
          <w:rFonts w:ascii="Arial" w:hAnsi="Arial" w:cs="Arial"/>
          <w:b/>
          <w:bCs/>
          <w:color w:val="333333"/>
          <w:sz w:val="36"/>
          <w:szCs w:val="36"/>
          <w:highlight w:val="none"/>
        </w:rPr>
      </w:pPr>
      <w:r>
        <w:rPr>
          <w:rFonts w:ascii="Arial" w:hAnsi="Arial" w:cs="Arial"/>
          <w:b/>
          <w:bCs/>
          <w:color w:val="333333"/>
          <w:sz w:val="36"/>
          <w:szCs w:val="36"/>
          <w:highlight w:val="none"/>
        </w:rPr>
        <w:br/>
      </w:r>
      <w:r>
        <w:rPr>
          <w:rFonts w:ascii="Arial" w:hAnsi="Arial" w:cs="Arial"/>
          <w:b/>
          <w:bCs/>
          <w:color w:val="333333"/>
          <w:sz w:val="36"/>
          <w:szCs w:val="36"/>
          <w:highlight w:val="none"/>
        </w:rPr>
      </w:r>
      <w:r>
        <w:rPr>
          <w:rFonts w:ascii="Arial" w:hAnsi="Arial" w:cs="Arial"/>
          <w:b/>
          <w:bCs/>
          <w:color w:val="333333"/>
          <w:sz w:val="36"/>
          <w:szCs w:val="36"/>
          <w:highlight w:val="none"/>
        </w:rPr>
      </w:r>
    </w:p>
    <w:p>
      <w:pPr>
        <w:jc w:val="center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jc w:val="center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jc w:val="center"/>
        <w:rPr>
          <w:rFonts w:ascii="Arial" w:hAnsi="Arial" w:cs="Arial"/>
          <w:color w:val="333333"/>
          <w:highlight w:val="none"/>
        </w:rPr>
      </w:pPr>
      <w:r>
        <w:rPr>
          <w:rFonts w:ascii="Arial" w:hAnsi="Arial" w:cs="Arial"/>
          <w:color w:val="333333"/>
          <w:highlight w:val="none"/>
        </w:rPr>
      </w:r>
      <w:r>
        <w:rPr>
          <w:rFonts w:ascii="Arial" w:hAnsi="Arial" w:cs="Arial"/>
          <w:color w:val="333333"/>
          <w:highlight w:val="none"/>
        </w:rPr>
      </w:r>
      <w:r>
        <w:rPr>
          <w:rFonts w:ascii="Arial" w:hAnsi="Arial" w:cs="Arial"/>
          <w:color w:val="333333"/>
          <w:highlight w:val="none"/>
        </w:rPr>
      </w:r>
    </w:p>
    <w:p>
      <w:pPr>
        <w:jc w:val="center"/>
        <w:rPr>
          <w:rFonts w:ascii="Arial" w:hAnsi="Arial" w:cs="Arial"/>
          <w:color w:val="333333"/>
          <w:highlight w:val="none"/>
        </w:rPr>
      </w:pPr>
      <w:r>
        <w:rPr>
          <w:rFonts w:ascii="Arial" w:hAnsi="Arial" w:cs="Arial"/>
          <w:b/>
          <w:color w:val="333333"/>
          <w:highlight w:val="none"/>
        </w:rPr>
        <w:t xml:space="preserve">Настоящий проект стандарта не подлежит применению до принятия</w:t>
      </w:r>
      <w:r>
        <w:rPr>
          <w:rFonts w:ascii="Arial" w:hAnsi="Arial" w:cs="Arial"/>
          <w:color w:val="333333"/>
          <w:highlight w:val="none"/>
        </w:rPr>
      </w:r>
      <w:r>
        <w:rPr>
          <w:rFonts w:ascii="Arial" w:hAnsi="Arial" w:cs="Arial"/>
          <w:color w:val="333333"/>
          <w:highlight w:val="none"/>
        </w:rPr>
      </w:r>
    </w:p>
    <w:p>
      <w:pPr>
        <w:jc w:val="center"/>
        <w:rPr>
          <w:rFonts w:ascii="Arial" w:hAnsi="Arial" w:cs="Arial"/>
          <w:color w:val="333333"/>
          <w:sz w:val="24"/>
          <w:szCs w:val="24"/>
          <w:highlight w:val="none"/>
        </w:rPr>
      </w:pPr>
      <w:r>
        <w:rPr>
          <w:rFonts w:ascii="Arial" w:hAnsi="Arial" w:cs="Arial"/>
          <w:color w:val="333333"/>
          <w:sz w:val="24"/>
          <w:szCs w:val="24"/>
          <w:highlight w:val="none"/>
        </w:rPr>
      </w:r>
      <w:r>
        <w:rPr>
          <w:rFonts w:ascii="Arial" w:hAnsi="Arial" w:cs="Arial"/>
          <w:color w:val="333333"/>
          <w:sz w:val="24"/>
          <w:szCs w:val="24"/>
          <w:highlight w:val="none"/>
        </w:rPr>
      </w:r>
      <w:r>
        <w:rPr>
          <w:rFonts w:ascii="Arial" w:hAnsi="Arial" w:cs="Arial"/>
          <w:color w:val="333333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color w:val="333333"/>
          <w:sz w:val="24"/>
          <w:szCs w:val="24"/>
          <w:highlight w:val="none"/>
        </w:rPr>
      </w:pPr>
      <w:r>
        <w:rPr>
          <w:rFonts w:ascii="Arial" w:hAnsi="Arial" w:cs="Arial"/>
          <w:color w:val="333333"/>
          <w:sz w:val="24"/>
          <w:szCs w:val="24"/>
          <w:highlight w:val="none"/>
        </w:rPr>
      </w:r>
      <w:r>
        <w:rPr>
          <w:rFonts w:ascii="Arial" w:hAnsi="Arial" w:cs="Arial"/>
          <w:color w:val="333333"/>
          <w:sz w:val="24"/>
          <w:szCs w:val="24"/>
          <w:highlight w:val="none"/>
        </w:rPr>
      </w:r>
      <w:r>
        <w:rPr>
          <w:rFonts w:ascii="Arial" w:hAnsi="Arial" w:cs="Arial"/>
          <w:color w:val="333333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b/>
          <w:color w:val="333333"/>
          <w:sz w:val="24"/>
          <w:szCs w:val="24"/>
          <w:highlight w:val="none"/>
        </w:rPr>
      </w:pP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b/>
          <w:color w:val="333333"/>
          <w:sz w:val="24"/>
          <w:szCs w:val="24"/>
          <w:highlight w:val="none"/>
        </w:rPr>
      </w:pP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b/>
          <w:color w:val="333333"/>
          <w:sz w:val="24"/>
          <w:szCs w:val="24"/>
          <w:highlight w:val="none"/>
        </w:rPr>
      </w:pP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b/>
          <w:color w:val="333333"/>
          <w:sz w:val="24"/>
          <w:szCs w:val="24"/>
          <w:highlight w:val="none"/>
        </w:rPr>
      </w:pP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b/>
          <w:color w:val="333333"/>
          <w:sz w:val="24"/>
          <w:szCs w:val="24"/>
          <w:highlight w:val="none"/>
        </w:rPr>
      </w:pP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b/>
          <w:color w:val="333333"/>
          <w:sz w:val="24"/>
          <w:szCs w:val="24"/>
          <w:highlight w:val="none"/>
        </w:rPr>
      </w:pP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b/>
          <w:color w:val="333333"/>
          <w:sz w:val="24"/>
          <w:szCs w:val="24"/>
          <w:highlight w:val="none"/>
        </w:rPr>
      </w:pP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b/>
          <w:color w:val="333333"/>
          <w:sz w:val="24"/>
          <w:szCs w:val="24"/>
          <w:highlight w:val="none"/>
        </w:rPr>
      </w:pP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b/>
          <w:color w:val="333333"/>
          <w:sz w:val="24"/>
          <w:szCs w:val="24"/>
          <w:highlight w:val="none"/>
        </w:rPr>
      </w:pP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b/>
          <w:color w:val="333333"/>
          <w:sz w:val="24"/>
          <w:szCs w:val="24"/>
          <w:highlight w:val="none"/>
        </w:rPr>
      </w:pP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b/>
          <w:color w:val="333333"/>
          <w:sz w:val="24"/>
          <w:szCs w:val="24"/>
          <w:highlight w:val="none"/>
        </w:rPr>
      </w:pP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b/>
          <w:color w:val="333333"/>
          <w:sz w:val="24"/>
          <w:szCs w:val="24"/>
          <w:highlight w:val="none"/>
        </w:rPr>
      </w:pP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b/>
          <w:color w:val="333333"/>
          <w:sz w:val="24"/>
          <w:szCs w:val="24"/>
          <w:highlight w:val="none"/>
        </w:rPr>
      </w:pP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  <w:r>
        <w:rPr>
          <w:rFonts w:ascii="Arial" w:hAnsi="Arial" w:cs="Arial"/>
          <w:b/>
          <w:color w:val="333333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b/>
          <w:color w:val="333333"/>
          <w:highlight w:val="none"/>
        </w:rPr>
      </w:pPr>
      <w:r>
        <w:rPr>
          <w:rFonts w:ascii="Arial" w:hAnsi="Arial" w:cs="Arial"/>
          <w:b/>
          <w:color w:val="333333"/>
          <w:highlight w:val="none"/>
        </w:rPr>
        <w:t xml:space="preserve">Москва</w:t>
      </w:r>
      <w:r>
        <w:rPr>
          <w:rFonts w:ascii="Arial" w:hAnsi="Arial" w:cs="Arial"/>
          <w:b/>
          <w:color w:val="333333"/>
          <w:highlight w:val="none"/>
        </w:rPr>
      </w:r>
      <w:r>
        <w:rPr>
          <w:rFonts w:ascii="Arial" w:hAnsi="Arial" w:cs="Arial"/>
          <w:b/>
          <w:color w:val="333333"/>
          <w:highlight w:val="none"/>
        </w:rPr>
      </w:r>
    </w:p>
    <w:p>
      <w:pPr>
        <w:jc w:val="center"/>
        <w:rPr>
          <w:rFonts w:ascii="Arial" w:hAnsi="Arial" w:cs="Arial"/>
          <w:b/>
          <w:bCs/>
          <w:color w:val="333333"/>
          <w:highlight w:val="none"/>
        </w:rPr>
      </w:pPr>
      <w:r>
        <w:rPr>
          <w:rFonts w:ascii="Arial" w:hAnsi="Arial" w:cs="Arial"/>
          <w:b/>
          <w:bCs/>
          <w:color w:val="333333"/>
          <w:highlight w:val="none"/>
        </w:rPr>
        <w:t xml:space="preserve">Российский институт стандартизации</w:t>
      </w:r>
      <w:r>
        <w:rPr>
          <w:rFonts w:ascii="Arial" w:hAnsi="Arial" w:cs="Arial"/>
          <w:b/>
          <w:bCs/>
          <w:color w:val="333333"/>
          <w:highlight w:val="none"/>
        </w:rPr>
      </w:r>
      <w:r>
        <w:rPr>
          <w:rFonts w:ascii="Arial" w:hAnsi="Arial" w:cs="Arial"/>
          <w:b/>
          <w:bCs/>
          <w:color w:val="333333"/>
          <w:highlight w:val="none"/>
        </w:rPr>
      </w:r>
    </w:p>
    <w:p>
      <w:pPr>
        <w:jc w:val="center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color w:val="333333"/>
          <w:highlight w:val="none"/>
        </w:rPr>
        <w:t xml:space="preserve">20</w:t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jc w:val="center"/>
        <w:spacing w:line="36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br w:type="page" w:clear="all"/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Arial" w:hAnsi="Arial" w:cs="Arial"/>
          <w:b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</w:rPr>
        <w:t xml:space="preserve">Предисловие</w:t>
      </w:r>
      <w:r>
        <w:rPr>
          <w:rFonts w:ascii="Arial" w:hAnsi="Arial" w:cs="Arial"/>
          <w:b/>
          <w:sz w:val="24"/>
          <w:szCs w:val="24"/>
          <w:highlight w:val="none"/>
        </w:rPr>
      </w:r>
      <w:r>
        <w:rPr>
          <w:rFonts w:ascii="Arial" w:hAnsi="Arial" w:cs="Arial"/>
          <w:b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/>
          <w:b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</w:rPr>
      </w:r>
      <w:r>
        <w:rPr>
          <w:rFonts w:ascii="Arial" w:hAnsi="Arial" w:cs="Arial"/>
          <w:b/>
          <w:sz w:val="24"/>
          <w:szCs w:val="24"/>
          <w:highlight w:val="none"/>
        </w:rPr>
      </w:r>
      <w:r>
        <w:rPr>
          <w:rFonts w:ascii="Arial" w:hAnsi="Arial" w:cs="Arial"/>
          <w:b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Евразийский совет по стандартизации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, метрологии и сертификации (ЕАЭС)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ЕАЭС национальных органов других государств.</w:t>
      </w: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Цели, основные принципы и общие правила проведения работ по межгосударственной стандартизации установлены ГОСТ 1.0 «Межг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b/>
          <w:color w:val="000000" w:themeColor="text1"/>
          <w:spacing w:val="-1"/>
          <w:sz w:val="24"/>
          <w:szCs w:val="24"/>
          <w:highlight w:val="none"/>
        </w:rPr>
      </w:pPr>
      <w:r>
        <w:rPr>
          <w:rFonts w:ascii="Arial" w:hAnsi="Arial" w:cs="Arial"/>
          <w:b/>
          <w:color w:val="000000" w:themeColor="text1"/>
          <w:spacing w:val="-1"/>
          <w:sz w:val="24"/>
          <w:szCs w:val="24"/>
          <w:highlight w:val="none"/>
        </w:rPr>
        <w:t xml:space="preserve">Сведения о стандарте</w:t>
      </w:r>
      <w:r>
        <w:rPr>
          <w:rFonts w:ascii="Arial" w:hAnsi="Arial" w:cs="Arial"/>
          <w:b/>
          <w:color w:val="000000" w:themeColor="text1"/>
          <w:spacing w:val="-1"/>
          <w:sz w:val="24"/>
          <w:szCs w:val="24"/>
          <w:highlight w:val="none"/>
        </w:rPr>
      </w:r>
      <w:r>
        <w:rPr>
          <w:rFonts w:ascii="Arial" w:hAnsi="Arial" w:cs="Arial"/>
          <w:b/>
          <w:color w:val="000000" w:themeColor="text1"/>
          <w:spacing w:val="-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b/>
          <w:color w:val="000000" w:themeColor="text1"/>
          <w:spacing w:val="-1"/>
          <w:sz w:val="24"/>
          <w:szCs w:val="24"/>
          <w:highlight w:val="none"/>
        </w:rPr>
      </w:pPr>
      <w:r>
        <w:rPr>
          <w:rFonts w:ascii="Arial" w:hAnsi="Arial" w:cs="Arial"/>
          <w:b/>
          <w:color w:val="000000" w:themeColor="text1"/>
          <w:spacing w:val="-1"/>
          <w:sz w:val="24"/>
          <w:szCs w:val="24"/>
          <w:highlight w:val="none"/>
        </w:rPr>
      </w:r>
      <w:r>
        <w:rPr>
          <w:rFonts w:ascii="Arial" w:hAnsi="Arial" w:cs="Arial"/>
          <w:b/>
          <w:color w:val="000000" w:themeColor="text1"/>
          <w:spacing w:val="-1"/>
          <w:sz w:val="24"/>
          <w:szCs w:val="24"/>
          <w:highlight w:val="none"/>
        </w:rPr>
      </w:r>
      <w:r>
        <w:rPr>
          <w:rFonts w:ascii="Arial" w:hAnsi="Arial" w:cs="Arial"/>
          <w:b/>
          <w:color w:val="000000" w:themeColor="text1"/>
          <w:spacing w:val="-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 РАЗРАБОТАН Акционерным обществом «Газпром промгаз» (АО «Газпром промгаз»), Обществом с ограниченной ответственностью «Газпром межрегионгаз» (ООО «Газпром межрегионгаз»)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2 ВНЕСЕН Межгосударственным техническим комитетом по стандартизации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br/>
        <w:t xml:space="preserve">МТК 523 «Техника и технология добычи и переработки нефти и газа»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 ПРИНЯТ Евразийским советом по стандартизации, метрологии и сертификации (протокол от _____________202 г. № _______)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За принятие стандарта проголосовали: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47"/>
        <w:gridCol w:w="2693"/>
        <w:gridCol w:w="4388"/>
      </w:tblGrid>
      <w:tr>
        <w:tblPrEx/>
        <w:trPr>
          <w:jc w:val="center"/>
          <w:trHeight w:val="61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hd w:val="clear" w:color="auto" w:fill="ffffff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  <w:t xml:space="preserve">Краткое наименование страны по МК (ИСО 3166) 004—97</w:t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left="-57" w:right="-57" w:firstLine="34"/>
              <w:jc w:val="center"/>
              <w:shd w:val="clear" w:color="auto" w:fill="ffffff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  <w:t xml:space="preserve">Код страны </w:t>
            </w:r>
            <w:r>
              <w:rPr>
                <w:rFonts w:ascii="Arial" w:hAnsi="Arial" w:cs="Arial"/>
                <w:color w:val="000000" w:themeColor="text1"/>
                <w:highlight w:val="none"/>
              </w:rPr>
              <w:br/>
              <w:t xml:space="preserve">по МК (ИСО 3166) 004—97</w:t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8" w:type="dxa"/>
            <w:vAlign w:val="center"/>
            <w:textDirection w:val="lrTb"/>
            <w:noWrap w:val="false"/>
          </w:tcPr>
          <w:p>
            <w:pPr>
              <w:ind w:left="-57" w:right="-57" w:firstLine="34"/>
              <w:jc w:val="center"/>
              <w:shd w:val="clear" w:color="auto" w:fill="ffffff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  <w:t xml:space="preserve">Сокращенное наименование национального органа по </w:t>
            </w:r>
            <w:r>
              <w:rPr>
                <w:rFonts w:ascii="Arial" w:hAnsi="Arial" w:eastAsia="Times New Roman" w:cs="Arial"/>
                <w:color w:val="000000" w:themeColor="text1"/>
                <w:highlight w:val="none"/>
              </w:rPr>
              <w:t xml:space="preserve">стандартизации</w:t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388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7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388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388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388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388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388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388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388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388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388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8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</w:tc>
      </w:tr>
    </w:tbl>
    <w:p>
      <w:pPr>
        <w:ind w:firstLine="567"/>
        <w:jc w:val="both"/>
        <w:spacing w:before="120"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  <w:sectPr>
          <w:headerReference w:type="default" r:id="rId9"/>
          <w:headerReference w:type="even" r:id="rId10"/>
          <w:headerReference w:type="first" r:id="rId11"/>
          <w:footerReference w:type="default" r:id="rId24"/>
          <w:footerReference w:type="even" r:id="rId25"/>
          <w:footnotePr>
            <w:numRestart w:val="eachPage"/>
          </w:footnotePr>
          <w:endnotePr/>
          <w:type w:val="nextPage"/>
          <w:pgSz w:w="11906" w:h="16838" w:orient="portrait"/>
          <w:pgMar w:top="1134" w:right="1134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before="120"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before="120"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4 Приказом Федерального агентства по техническому регулированию и метрологии от ___________ г. № _____ межгосударственный стандарт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br/>
        <w:t xml:space="preserve">ГОСТ 33979-ХХХХ введен в действие в качестве национального стандарта Российской Федерации с _____________ г.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before="120"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5 ВЗАМЕН ГОСТ 33979-2016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/>
          <w:i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i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i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i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i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i/>
          <w:color w:val="000000" w:themeColor="text1"/>
          <w:sz w:val="24"/>
          <w:szCs w:val="24"/>
          <w:highlight w:val="none"/>
        </w:rPr>
        <w:t xml:space="preserve">Информация о введении в действие (прекращении дейст</w:t>
      </w:r>
      <w:r>
        <w:rPr>
          <w:rFonts w:ascii="Arial" w:hAnsi="Arial" w:cs="Arial"/>
          <w:i/>
          <w:color w:val="000000" w:themeColor="text1"/>
          <w:sz w:val="24"/>
          <w:szCs w:val="24"/>
          <w:highlight w:val="none"/>
        </w:rPr>
        <w:t xml:space="preserve">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  <w:r>
        <w:rPr>
          <w:rFonts w:ascii="Arial" w:hAnsi="Arial" w:cs="Arial"/>
          <w:i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i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i/>
          <w:color w:val="000000" w:themeColor="text1"/>
          <w:sz w:val="24"/>
          <w:szCs w:val="24"/>
          <w:highlight w:val="none"/>
        </w:rPr>
        <w:t xml:space="preserve"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right"/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©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Российский институт стандартизации</w:t>
      </w:r>
      <w:r>
        <w:rPr>
          <w:rFonts w:ascii="Arial" w:hAnsi="Arial" w:cs="Arial"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Cs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line="36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746"/>
        <w:gridCol w:w="8035"/>
      </w:tblGrid>
      <w:tr>
        <w:tblPrEx/>
        <w:trPr/>
        <w:tc>
          <w:tcPr>
            <w:shd w:val="clear" w:color="auto" w:fill="auto"/>
            <w:tcW w:w="1746" w:type="dxa"/>
            <w:textDirection w:val="lrTb"/>
            <w:noWrap w:val="false"/>
          </w:tcPr>
          <w:p>
            <w:pPr>
              <w:jc w:val="both"/>
              <w:spacing w:line="360" w:lineRule="auto"/>
              <w:widowControl w:val="off"/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  <w:highlight w:val="none"/>
              </w:rPr>
              <w:outlineLvl w:val="3"/>
            </w:pP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43610" cy="600075"/>
                      <wp:effectExtent l="19050" t="0" r="8890" b="0"/>
                      <wp:docPr id="1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4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4361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74.30pt;height:47.25pt;mso-wrap-distance-left:0.00pt;mso-wrap-distance-top:0.00pt;mso-wrap-distance-right:0.00pt;mso-wrap-distance-bottom:0.00pt;" stroked="f" strokeweight="0.75pt">
                      <v:path textboxrect="0,0,0,0"/>
                      <v:imagedata r:id="rId45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8035" w:type="dxa"/>
            <w:textDirection w:val="lrTb"/>
            <w:noWrap w:val="false"/>
          </w:tcPr>
          <w:p>
            <w:pPr>
              <w:ind w:firstLine="510"/>
              <w:jc w:val="both"/>
              <w:spacing w:line="360" w:lineRule="auto"/>
              <w:widowControl w:val="off"/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  <w:highlight w:val="none"/>
              </w:rPr>
              <w:outlineLvl w:val="3"/>
            </w:pP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  <w:highlight w:val="none"/>
              </w:rPr>
              <w:t xml:space="preserve"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</w:tbl>
    <w:p>
      <w:pPr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center"/>
        <w:spacing w:line="48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  <w:sectPr>
          <w:footerReference w:type="default" r:id="rId26"/>
          <w:footnotePr>
            <w:numRestart w:val="eachPage"/>
          </w:footnotePr>
          <w:endnotePr/>
          <w:type w:val="continuous"/>
          <w:pgSz w:w="11906" w:h="16838" w:orient="portrait"/>
          <w:pgMar w:top="1134" w:right="1134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jc w:val="center"/>
        <w:spacing w:line="48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br w:type="page" w:clear="all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66"/>
        <w:ind w:left="3545" w:firstLine="709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Содержание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Область применения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_Toc183700731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2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Нормативные ссылки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  <w:t xml:space="preserve">2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Термины, определения и сокращения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  <w:t xml:space="preserve">3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4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Система управления, процессный подход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  <w:t xml:space="preserve">7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4.1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Система управления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_Toc183700735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7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4.2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Процессный подход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  <w:t xml:space="preserve">8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5 Основные положения по управлению сетями газораспределения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_Toc183700737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21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5.1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Общие положения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_Toc183700738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21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5.2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Цель и задачи системы управления сетями газораспределения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_Toc183700739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21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5.3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Принципы построения системы управления сетями газораспределения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  <w:t xml:space="preserve">22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5.4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Процесс управления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  <w:t xml:space="preserve">22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5.5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Нормативно-правовое обеспечение управления сетями газораспределения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_Toc183700742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28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6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Проектирование сетей газораспределения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_Toc183700743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29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6.1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Принципы управления проектированием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  <w:t xml:space="preserve">29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6.2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Согласование, контроль и экспертиза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  <w:t xml:space="preserve">31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7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Строительство, реконструкция, техническое перевооружение сетей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ind w:left="0" w:firstLine="227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газораспределения, подключение (технологическое присоединение) к ним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  <w:t xml:space="preserve">32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7.1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Принципы управления строительством, реконструкцией, техническим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ind w:left="221" w:firstLine="397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перевооружением, подключением (технологическим присоединением)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  <w:t xml:space="preserve">32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7.2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Управление работами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_Toc183700748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33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7.3 Контроль (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надзор) за производством работ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  <w:t xml:space="preserve">34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8 Ввод в эксплуатацию,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эксплуатация сетей газораспределения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_Toc183700750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35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8.1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Принципы управления эксплуатацией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_Toc183700751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35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8.2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Мониторинг технического состояния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_Toc183700752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36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8.3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Техническое обслуживание и ремонт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_Toc183700753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36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8.4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Оперативно-диспетчерское управление сетями газораспределения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_Toc183700754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37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9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Вывод из эксплуатации, консервация, ликвидация сетей газораспределения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_Toc183700756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39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10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Управление персоналом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  <w:t xml:space="preserve">40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10.1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Компетентность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  <w:t xml:space="preserve">40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10.2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Обучение персонала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  <w:t xml:space="preserve">41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10.3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Ответственность персонала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  <w:t xml:space="preserve">42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11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Материально-техническое обеспечение организации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_Toc183700761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42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11.1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Принципы управления материально-техническим обеспечением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_Toc183700762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42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11.2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Организация закупок и хранения материально-технических ресурсов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_Toc183700763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43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  <w:sectPr>
          <w:footerReference w:type="even" r:id="rId27"/>
          <w:footnotePr>
            <w:numRestart w:val="eachPage"/>
          </w:footnotePr>
          <w:endnotePr/>
          <w:type w:val="continuous"/>
          <w:pgSz w:w="11906" w:h="16838" w:orient="portrait"/>
          <w:pgMar w:top="1134" w:right="1134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11.3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Контроль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_Toc183700764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43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12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Обеспечение взаимодействия с заинтересованными сторонами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_Toc183700765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44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12.1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Взаимодействие с потребителями услуг по транспортировке газа,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газотранспортными организациями, потребителями газа, заявителями по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подключению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(технологическому присоединению) к сетям газораспределения…...44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12.2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Взаимодействие с органами исполнительной власти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instrText xml:space="preserve"> PAGEREF _Toc183700767 \h </w:instrTex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45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12.3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Взаимодействие с третьими лицами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....................................................................46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13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Производственная безопасность и охрана окружающей среды.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.............................47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13.1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Принципы обеспечения производственной безопасности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..................................47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13.2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Идентификация и анализ опасности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....................................................................48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9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13.3 Административно-производственный контроль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..................................................50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14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eastAsia="en-US"/>
        </w:rPr>
        <w:t xml:space="preserve">Управление несоответствующими выходами процесса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...........................................50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15 Анализ и улучшения системы управления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ab/>
        <w:t xml:space="preserve">51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Style w:val="1828"/>
          <w:rFonts w:ascii="Arial" w:hAnsi="Arial" w:cs="Arial"/>
          <w:color w:val="000000" w:themeColor="text1"/>
          <w:sz w:val="24"/>
          <w:szCs w:val="24"/>
          <w:highlight w:val="none"/>
          <w:u w:val="none"/>
        </w:rPr>
        <w:t xml:space="preserve">Приложение А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 (рекомендуемое) Схема ведущих и дополняющих процессов в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ind w:left="0" w:firstLine="1429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газораспределительной организации…………………………………….….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54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jc w:val="both"/>
        <w:rPr>
          <w:rStyle w:val="1828"/>
          <w:rFonts w:ascii="Arial" w:hAnsi="Arial" w:cs="Arial"/>
          <w:color w:val="000000" w:themeColor="text1"/>
          <w:sz w:val="24"/>
          <w:szCs w:val="24"/>
          <w:highlight w:val="none"/>
          <w:u w:val="none"/>
        </w:rPr>
      </w:pPr>
      <w:r>
        <w:rPr>
          <w:rStyle w:val="1828"/>
          <w:rFonts w:ascii="Arial" w:hAnsi="Arial" w:cs="Arial"/>
          <w:color w:val="000000" w:themeColor="text1"/>
          <w:sz w:val="24"/>
          <w:szCs w:val="24"/>
          <w:highlight w:val="none"/>
          <w:u w:val="none"/>
        </w:rPr>
        <w:t xml:space="preserve">Приложение Б (рекомендуемое) Ведущие и дополняющие процессы в </w:t>
      </w:r>
      <w:r>
        <w:rPr>
          <w:rStyle w:val="1828"/>
          <w:rFonts w:ascii="Arial" w:hAnsi="Arial" w:cs="Arial"/>
          <w:color w:val="000000" w:themeColor="text1"/>
          <w:sz w:val="24"/>
          <w:szCs w:val="24"/>
          <w:highlight w:val="none"/>
          <w:u w:val="none"/>
        </w:rPr>
      </w:r>
      <w:r>
        <w:rPr>
          <w:rStyle w:val="1828"/>
          <w:rFonts w:ascii="Arial" w:hAnsi="Arial" w:cs="Arial"/>
          <w:color w:val="000000" w:themeColor="text1"/>
          <w:sz w:val="24"/>
          <w:szCs w:val="24"/>
          <w:highlight w:val="none"/>
          <w:u w:val="none"/>
        </w:rPr>
      </w:r>
    </w:p>
    <w:p>
      <w:pPr>
        <w:pStyle w:val="1837"/>
        <w:ind w:left="0" w:firstLine="1429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Style w:val="1828"/>
          <w:rFonts w:ascii="Arial" w:hAnsi="Arial" w:cs="Arial"/>
          <w:color w:val="000000" w:themeColor="text1"/>
          <w:sz w:val="24"/>
          <w:szCs w:val="24"/>
          <w:highlight w:val="none"/>
          <w:u w:val="none"/>
        </w:rPr>
        <w:t xml:space="preserve">газораспределительной организации………………………………….……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55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jc w:val="both"/>
        <w:rPr>
          <w:rStyle w:val="1828"/>
          <w:rFonts w:ascii="Arial" w:hAnsi="Arial" w:cs="Arial"/>
          <w:color w:val="000000" w:themeColor="text1"/>
          <w:sz w:val="24"/>
          <w:szCs w:val="24"/>
          <w:highlight w:val="none"/>
          <w:u w:val="none"/>
        </w:rPr>
      </w:pPr>
      <w:r>
        <w:rPr>
          <w:rStyle w:val="1828"/>
          <w:rFonts w:ascii="Arial" w:hAnsi="Arial" w:cs="Arial"/>
          <w:color w:val="000000" w:themeColor="text1"/>
          <w:sz w:val="24"/>
          <w:szCs w:val="24"/>
          <w:highlight w:val="none"/>
          <w:u w:val="none"/>
        </w:rPr>
        <w:t xml:space="preserve">Приложение В (рекомендуемое) Перечень возможных рисков процессов в </w:t>
      </w:r>
      <w:r>
        <w:rPr>
          <w:rStyle w:val="1828"/>
          <w:rFonts w:ascii="Arial" w:hAnsi="Arial" w:cs="Arial"/>
          <w:color w:val="000000" w:themeColor="text1"/>
          <w:sz w:val="24"/>
          <w:szCs w:val="24"/>
          <w:highlight w:val="none"/>
          <w:u w:val="none"/>
        </w:rPr>
      </w:r>
      <w:r>
        <w:rPr>
          <w:rStyle w:val="1828"/>
          <w:rFonts w:ascii="Arial" w:hAnsi="Arial" w:cs="Arial"/>
          <w:color w:val="000000" w:themeColor="text1"/>
          <w:sz w:val="24"/>
          <w:szCs w:val="24"/>
          <w:highlight w:val="none"/>
          <w:u w:val="none"/>
        </w:rPr>
      </w:r>
    </w:p>
    <w:p>
      <w:pPr>
        <w:pStyle w:val="1837"/>
        <w:ind w:left="0" w:firstLine="1429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Style w:val="1828"/>
          <w:rFonts w:ascii="Arial" w:hAnsi="Arial" w:cs="Arial"/>
          <w:color w:val="000000" w:themeColor="text1"/>
          <w:sz w:val="24"/>
          <w:szCs w:val="24"/>
          <w:highlight w:val="none"/>
          <w:u w:val="none"/>
        </w:rPr>
        <w:t xml:space="preserve">газораспределительной организации и средства управления ими….…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..62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37"/>
        <w:jc w:val="both"/>
        <w:rPr>
          <w:rStyle w:val="1828"/>
          <w:rFonts w:ascii="Arial" w:hAnsi="Arial" w:cs="Arial"/>
          <w:color w:val="000000" w:themeColor="text1"/>
          <w:sz w:val="24"/>
          <w:szCs w:val="24"/>
          <w:highlight w:val="none"/>
          <w:u w:val="none"/>
        </w:rPr>
      </w:pPr>
      <w:r>
        <w:rPr>
          <w:rStyle w:val="1828"/>
          <w:rFonts w:ascii="Arial" w:hAnsi="Arial" w:cs="Arial"/>
          <w:color w:val="000000" w:themeColor="text1"/>
          <w:sz w:val="24"/>
          <w:szCs w:val="24"/>
          <w:highlight w:val="none"/>
          <w:u w:val="none"/>
        </w:rPr>
        <w:t xml:space="preserve">Приложение Г (рекомендуемое) Перечень целей процессов в </w:t>
      </w:r>
      <w:r>
        <w:rPr>
          <w:rStyle w:val="1828"/>
          <w:rFonts w:ascii="Arial" w:hAnsi="Arial" w:cs="Arial"/>
          <w:color w:val="000000" w:themeColor="text1"/>
          <w:sz w:val="24"/>
          <w:szCs w:val="24"/>
          <w:highlight w:val="none"/>
          <w:u w:val="none"/>
        </w:rPr>
      </w:r>
      <w:r>
        <w:rPr>
          <w:rStyle w:val="1828"/>
          <w:rFonts w:ascii="Arial" w:hAnsi="Arial" w:cs="Arial"/>
          <w:color w:val="000000" w:themeColor="text1"/>
          <w:sz w:val="24"/>
          <w:szCs w:val="24"/>
          <w:highlight w:val="none"/>
          <w:u w:val="none"/>
        </w:rPr>
      </w:r>
    </w:p>
    <w:p>
      <w:pPr>
        <w:pStyle w:val="1837"/>
        <w:ind w:left="0" w:firstLine="1429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Style w:val="1828"/>
          <w:rFonts w:ascii="Arial" w:hAnsi="Arial" w:cs="Arial"/>
          <w:color w:val="000000" w:themeColor="text1"/>
          <w:sz w:val="24"/>
          <w:szCs w:val="24"/>
          <w:highlight w:val="none"/>
          <w:u w:val="none"/>
        </w:rPr>
        <w:t xml:space="preserve">газораспределительной организации…………………………………….….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69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rPr>
          <w:rFonts w:ascii="Arial" w:hAnsi="Arial" w:cs="Arial"/>
          <w:color w:val="000000" w:themeColor="text1"/>
          <w:sz w:val="18"/>
          <w:highlight w:val="none"/>
        </w:rPr>
      </w:pPr>
      <w:r>
        <w:rPr>
          <w:rFonts w:ascii="Arial" w:hAnsi="Arial" w:cs="Arial"/>
          <w:color w:val="000000" w:themeColor="text1"/>
          <w:sz w:val="24"/>
          <w:highlight w:val="none"/>
        </w:rPr>
        <w:t xml:space="preserve">Библиография……………………………………………………………………………………72</w:t>
      </w:r>
      <w:r>
        <w:rPr>
          <w:rFonts w:ascii="Arial" w:hAnsi="Arial" w:cs="Arial"/>
          <w:color w:val="000000" w:themeColor="text1"/>
          <w:sz w:val="18"/>
          <w:highlight w:val="none"/>
        </w:rPr>
      </w:r>
      <w:r>
        <w:rPr>
          <w:rFonts w:ascii="Arial" w:hAnsi="Arial" w:cs="Arial"/>
          <w:color w:val="000000" w:themeColor="text1"/>
          <w:sz w:val="18"/>
          <w:highlight w:val="none"/>
        </w:rPr>
      </w:r>
    </w:p>
    <w:p>
      <w:pPr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rPr>
          <w:color w:val="000000" w:themeColor="text1"/>
          <w:highlight w:val="none"/>
        </w:rPr>
        <w:sectPr>
          <w:headerReference w:type="first" r:id="rId12"/>
          <w:footerReference w:type="first" r:id="rId28"/>
          <w:footnotePr>
            <w:numRestart w:val="eachPage"/>
          </w:footnotePr>
          <w:endnotePr/>
          <w:type w:val="continuous"/>
          <w:pgSz w:w="11906" w:h="16838" w:orient="portrait"/>
          <w:pgMar w:top="1134" w:right="1134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  <w:sectPr>
          <w:headerReference w:type="default" r:id="rId13"/>
          <w:footerReference w:type="default" r:id="rId29"/>
          <w:footerReference w:type="first" r:id="rId30"/>
          <w:footnotePr>
            <w:numRestart w:val="eachPage"/>
          </w:footnotePr>
          <w:endnotePr/>
          <w:type w:val="nextPage"/>
          <w:pgSz w:w="11906" w:h="16838" w:orient="portrait"/>
          <w:pgMar w:top="1134" w:right="1134" w:bottom="1134" w:left="1134" w:header="709" w:footer="709" w:gutter="0"/>
          <w:pgNumType w:start="1"/>
          <w:cols w:num="1" w:sep="0" w:space="708" w:equalWidth="1"/>
          <w:docGrid w:linePitch="360"/>
        </w:sect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284"/>
        <w:jc w:val="both"/>
        <w:spacing w:line="360" w:lineRule="auto"/>
        <w:widowControl w:val="off"/>
        <w:tabs>
          <w:tab w:val="left" w:pos="709" w:leader="none"/>
          <w:tab w:val="left" w:pos="851" w:leader="none"/>
          <w:tab w:val="left" w:pos="1418" w:leader="none"/>
        </w:tabs>
        <w:rPr>
          <w:rFonts w:ascii="Arial" w:hAnsi="Arial" w:cs="Arial"/>
          <w:b/>
          <w:color w:val="000000" w:themeColor="text1"/>
          <w:spacing w:val="160"/>
          <w:sz w:val="24"/>
          <w:szCs w:val="24"/>
          <w:highlight w:val="none"/>
        </w:rPr>
      </w:pPr>
      <w:r>
        <w:rPr>
          <w:rFonts w:ascii="Arial" w:hAnsi="Arial" w:cs="Arial"/>
          <w:b/>
          <w:color w:val="000000" w:themeColor="text1"/>
          <w:spacing w:val="160"/>
          <w:sz w:val="24"/>
          <w:szCs w:val="24"/>
          <w:highlight w:val="none"/>
        </w:rPr>
        <w:t xml:space="preserve">МЕЖГОСУДАРСТВЕННЫЙ   СТАНДАРТ</w:t>
      </w:r>
      <w:r>
        <w:rPr>
          <w:rFonts w:ascii="Arial" w:hAnsi="Arial" w:cs="Arial"/>
          <w:b/>
          <w:color w:val="000000" w:themeColor="text1"/>
          <w:spacing w:val="160"/>
          <w:sz w:val="24"/>
          <w:szCs w:val="24"/>
          <w:highlight w:val="none"/>
        </w:rPr>
      </w:r>
      <w:r>
        <w:rPr>
          <w:rFonts w:ascii="Arial" w:hAnsi="Arial" w:cs="Arial"/>
          <w:b/>
          <w:color w:val="000000" w:themeColor="text1"/>
          <w:spacing w:val="160"/>
          <w:sz w:val="24"/>
          <w:szCs w:val="24"/>
          <w:highlight w:val="none"/>
        </w:rPr>
      </w:r>
    </w:p>
    <w:tbl>
      <w:tblPr>
        <w:tblW w:w="0" w:type="auto"/>
        <w:tblBorders>
          <w:top w:val="single" w:color="auto" w:sz="18" w:space="0"/>
          <w:bottom w:val="single" w:color="auto" w:sz="8" w:space="0"/>
        </w:tblBorders>
        <w:tblLook w:val="04A0" w:firstRow="1" w:lastRow="0" w:firstColumn="1" w:lastColumn="0" w:noHBand="0" w:noVBand="1"/>
      </w:tblPr>
      <w:tblGrid>
        <w:gridCol w:w="9638"/>
      </w:tblGrid>
      <w:tr>
        <w:tblPrEx/>
        <w:trPr/>
        <w:tc>
          <w:tcPr>
            <w:tcW w:w="9857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none"/>
              </w:rPr>
              <w:t xml:space="preserve">Системы газораспределительные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tabs>
                <w:tab w:val="left" w:pos="720" w:leader="none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СИСТЕМЫ УПРАВЛЕНИЯ СЕТЯМИ ГАЗОРАСПРЕДЕЛЕНИЯ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widowControl w:val="off"/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Gas distribution systems. Gas distribution network management system.</w:t>
            </w:r>
            <w: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jc w:val="right"/>
        <w:spacing w:before="120"/>
        <w:rPr>
          <w:rFonts w:ascii="Arial" w:hAnsi="Arial" w:cs="Arial"/>
          <w:b/>
          <w:bCs/>
          <w:iCs/>
          <w:color w:val="000000" w:themeColor="text1"/>
          <w:sz w:val="21"/>
          <w:szCs w:val="21"/>
          <w:highlight w:val="none"/>
        </w:rPr>
      </w:pPr>
      <w:r>
        <w:rPr>
          <w:rFonts w:ascii="Arial" w:hAnsi="Arial" w:cs="Arial"/>
          <w:b/>
          <w:bCs/>
          <w:iCs/>
          <w:color w:val="000000" w:themeColor="text1"/>
          <w:sz w:val="21"/>
          <w:szCs w:val="21"/>
          <w:highlight w:val="none"/>
        </w:rPr>
        <w:t xml:space="preserve">Дата введения – 202_ _ </w:t>
      </w:r>
      <w:r>
        <w:rPr>
          <w:rFonts w:ascii="Arial" w:hAnsi="Arial" w:cs="Arial"/>
          <w:b/>
          <w:bCs/>
          <w:iCs/>
          <w:color w:val="000000" w:themeColor="text1"/>
          <w:sz w:val="21"/>
          <w:szCs w:val="21"/>
          <w:highlight w:val="none"/>
        </w:rPr>
      </w:r>
      <w:r>
        <w:rPr>
          <w:rFonts w:ascii="Arial" w:hAnsi="Arial" w:cs="Arial"/>
          <w:b/>
          <w:bCs/>
          <w:iCs/>
          <w:color w:val="000000" w:themeColor="text1"/>
          <w:sz w:val="21"/>
          <w:szCs w:val="21"/>
          <w:highlight w:val="none"/>
        </w:rPr>
      </w:r>
    </w:p>
    <w:p>
      <w:pPr>
        <w:jc w:val="right"/>
        <w:spacing w:before="120"/>
        <w:rPr>
          <w:rFonts w:ascii="Arial" w:hAnsi="Arial" w:cs="Arial"/>
          <w:color w:val="000000" w:themeColor="text1"/>
          <w:sz w:val="16"/>
          <w:szCs w:val="16"/>
          <w:highlight w:val="none"/>
        </w:rPr>
      </w:pPr>
      <w:r>
        <w:rPr>
          <w:rFonts w:ascii="Arial" w:hAnsi="Arial" w:cs="Arial"/>
          <w:color w:val="000000" w:themeColor="text1"/>
          <w:sz w:val="16"/>
          <w:szCs w:val="16"/>
          <w:highlight w:val="none"/>
        </w:rPr>
      </w:r>
      <w:r>
        <w:rPr>
          <w:rFonts w:ascii="Arial" w:hAnsi="Arial" w:cs="Arial"/>
          <w:color w:val="000000" w:themeColor="text1"/>
          <w:sz w:val="16"/>
          <w:szCs w:val="16"/>
          <w:highlight w:val="none"/>
        </w:rPr>
      </w:r>
      <w:r>
        <w:rPr>
          <w:rFonts w:ascii="Arial" w:hAnsi="Arial" w:cs="Arial"/>
          <w:color w:val="000000" w:themeColor="text1"/>
          <w:sz w:val="16"/>
          <w:szCs w:val="16"/>
          <w:highlight w:val="none"/>
        </w:rPr>
      </w:r>
    </w:p>
    <w:p>
      <w:pPr>
        <w:pStyle w:val="1647"/>
        <w:rPr>
          <w:b w:val="0"/>
          <w:color w:val="000000" w:themeColor="text1"/>
          <w:highlight w:val="none"/>
        </w:rPr>
      </w:pPr>
      <w:r>
        <w:rPr>
          <w:highlight w:val="none"/>
        </w:rPr>
      </w:r>
      <w:bookmarkStart w:id="0" w:name="_Toc189667656"/>
      <w:r>
        <w:rPr>
          <w:highlight w:val="none"/>
        </w:rPr>
      </w:r>
      <w:bookmarkStart w:id="1" w:name="_Toc183700731"/>
      <w:r>
        <w:rPr>
          <w:color w:val="000000" w:themeColor="text1"/>
          <w:highlight w:val="none"/>
        </w:rPr>
        <w:t xml:space="preserve">1 </w:t>
      </w:r>
      <w:r>
        <w:rPr>
          <w:rStyle w:val="1865"/>
          <w:b/>
          <w:color w:val="000000" w:themeColor="text1"/>
          <w:highlight w:val="none"/>
        </w:rPr>
        <w:t xml:space="preserve">Область применения</w:t>
      </w:r>
      <w:bookmarkEnd w:id="0"/>
      <w:r>
        <w:rPr>
          <w:highlight w:val="none"/>
        </w:rPr>
      </w:r>
      <w:bookmarkEnd w:id="1"/>
      <w:r>
        <w:rPr>
          <w:b w:val="0"/>
          <w:color w:val="000000" w:themeColor="text1"/>
          <w:highlight w:val="none"/>
        </w:rPr>
      </w:r>
      <w:r>
        <w:rPr>
          <w:b w:val="0"/>
          <w:color w:val="000000" w:themeColor="text1"/>
          <w:highlight w:val="none"/>
        </w:rPr>
      </w:r>
    </w:p>
    <w:p>
      <w:pPr>
        <w:jc w:val="both"/>
        <w:spacing w:line="360" w:lineRule="auto"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1.1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Настоящий стандарт устанавливает основные положения по организации системы управления сетями газораспределения на всех стадиях их жизненного цикла.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1.2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Насто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ящий стандарт распространяется на системы управления сетями газораспределения, создаваемые или действующие в газораспределительных организациях, а также создаваемые или действующие в организациях, оказывающих услуги по эксплуатации сетей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1.3 Настоящий стандарт может быть также применен: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при управлении деятельностью по проектированию, строительству, реконструкции, техническому перевооружению и эксплуатации сетей газораспределения юридическими лицами и предпринимателями без образования юридического лица;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заказчиками проектов строительства, реконструкции, технического перевооружения объектов капитального строительства, подключаемых к сетям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при оценке качества и эффективности деятельности газораспределительных и эксплуатационных организаций сети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1.4 Настоящий стандарт не распространяется на управление объектами, которые не идентифицированы в качестве объектов технического регулирования.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1.5 Положения, установленные настоящим стандартом, являются дополнительными к условиям применения систем менеджмента качества, менеджмента рисков, менеджмента безопасности труда и охраны здоровья, экологического менеджмента при оказании услуг организацией.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203835</wp:posOffset>
                </wp:positionV>
                <wp:extent cx="6343650" cy="19050"/>
                <wp:effectExtent l="38100" t="38100" r="76200" b="952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43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1" o:spid="_x0000_s11" style="position:absolute;left:0;text-align:left;z-index:251651072;mso-wrap-distance-left:9.00pt;mso-wrap-distance-top:0.00pt;mso-wrap-distance-right:9.00pt;mso-wrap-distance-bottom:0.00pt;visibility:visible;" from="-1.9pt,16.1pt" to="497.6pt,17.6pt" filled="f" strokecolor="#000000" strokeweight="2.00pt">
                <v:stroke dashstyle="solid"/>
              </v:line>
            </w:pict>
          </mc:Fallback>
        </mc:AlternateConten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720"/>
        <w:jc w:val="both"/>
        <w:spacing w:line="360" w:lineRule="auto"/>
        <w:rPr>
          <w:rFonts w:ascii="Arial" w:hAnsi="Arial" w:cs="Arial" w:eastAsiaTheme="minorEastAsia"/>
          <w:i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i/>
          <w:color w:val="000000" w:themeColor="text1"/>
          <w:sz w:val="24"/>
          <w:szCs w:val="24"/>
          <w:highlight w:val="none"/>
        </w:rPr>
        <w:t xml:space="preserve">Проект, окончательная редакция</w:t>
      </w:r>
      <w:r>
        <w:rPr>
          <w:rFonts w:ascii="Arial" w:hAnsi="Arial" w:cs="Arial" w:eastAsiaTheme="minorEastAsia"/>
          <w:i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i/>
          <w:color w:val="000000" w:themeColor="text1"/>
          <w:sz w:val="24"/>
          <w:szCs w:val="24"/>
          <w:highlight w:val="none"/>
        </w:rPr>
      </w:r>
    </w:p>
    <w:p>
      <w:pPr>
        <w:pStyle w:val="1647"/>
        <w:ind w:firstLine="0"/>
        <w:rPr>
          <w:color w:val="000000" w:themeColor="text1"/>
          <w:highlight w:val="none"/>
        </w:rPr>
      </w:pPr>
      <w:r>
        <w:rPr>
          <w:highlight w:val="none"/>
        </w:rPr>
      </w:r>
      <w:bookmarkStart w:id="2" w:name="_Toc183700732"/>
      <w:r>
        <w:rPr>
          <w:highlight w:val="none"/>
        </w:rPr>
      </w:r>
      <w:bookmarkStart w:id="3" w:name="_Toc189667657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647"/>
        <w:rPr>
          <w:rStyle w:val="1865"/>
          <w:b/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 </w:t>
      </w:r>
      <w:r>
        <w:rPr>
          <w:rStyle w:val="1865"/>
          <w:b/>
          <w:color w:val="000000" w:themeColor="text1"/>
          <w:highlight w:val="none"/>
        </w:rPr>
        <w:t xml:space="preserve">Нормативные ссылки</w:t>
      </w:r>
      <w:bookmarkEnd w:id="2"/>
      <w:r>
        <w:rPr>
          <w:highlight w:val="none"/>
        </w:rPr>
      </w:r>
      <w:bookmarkEnd w:id="3"/>
      <w:r>
        <w:rPr>
          <w:rStyle w:val="1865"/>
          <w:b/>
          <w:color w:val="000000" w:themeColor="text1"/>
          <w:highlight w:val="none"/>
        </w:rPr>
      </w:r>
      <w:r>
        <w:rPr>
          <w:rStyle w:val="1865"/>
          <w:b/>
          <w:color w:val="000000" w:themeColor="text1"/>
          <w:highlight w:val="none"/>
        </w:rPr>
      </w:r>
    </w:p>
    <w:p>
      <w:pPr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В настоящем стандарте использованы нормативные ссылки на следующие межгосударственные стандарты</w:t>
      </w:r>
      <w:r>
        <w:rPr>
          <w:color w:val="000000" w:themeColor="text1"/>
          <w:sz w:val="24"/>
          <w:highlight w:val="none"/>
        </w:rPr>
        <w:t xml:space="preserve">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ГОСТ 12.0.002-2014 Система стандартов безопасности труда. Термины и определения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ГОСТ 12.0.230 Система стандартов безопасности труда. Системы управления охраной труда. Общие требования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line="360" w:lineRule="auto"/>
        <w:widowControl w:val="off"/>
        <w:rPr>
          <w:rFonts w:eastAsiaTheme="minorEastAsia"/>
          <w:color w:val="000000" w:themeColor="text1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ГОСТ 27.002 Надежность в технике. Термины и определения</w:t>
      </w:r>
      <w:r>
        <w:rPr>
          <w:rStyle w:val="1825"/>
          <w:rFonts w:eastAsiaTheme="minorEastAsia"/>
          <w:color w:val="000000" w:themeColor="text1"/>
          <w:highlight w:val="none"/>
        </w:rPr>
        <w:footnoteReference w:id="2"/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  <w:vertAlign w:val="superscript"/>
        </w:rPr>
        <w:t xml:space="preserve">)</w:t>
      </w:r>
      <w:r>
        <w:rPr>
          <w:rFonts w:eastAsiaTheme="minorEastAsia"/>
          <w:color w:val="000000" w:themeColor="text1"/>
          <w:highlight w:val="none"/>
        </w:rPr>
      </w:r>
      <w:r>
        <w:rPr>
          <w:rFonts w:eastAsiaTheme="minorEastAsia"/>
          <w:color w:val="000000" w:themeColor="text1"/>
          <w:highlight w:val="none"/>
        </w:rPr>
      </w:r>
    </w:p>
    <w:p>
      <w:pPr>
        <w:ind w:firstLine="567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ГОСТ 27.310 Надежность в технике. Анализ видов, последствий и критичности отказов. Основные положения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ГОСТ 34715.0 Системы газораспределительные. Проектирование, строительство и ликвидация сетей газораспределения природного газа. Часть 0. Общие требования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line="360" w:lineRule="auto"/>
        <w:widowControl w:val="off"/>
        <w:rPr>
          <w:color w:val="000000" w:themeColor="text1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ГОСТ 34741 Системы газораспределительные. Требования к эксплуатации сетей газораспределения природного газа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67"/>
        <w:jc w:val="both"/>
        <w:spacing w:line="360" w:lineRule="auto"/>
        <w:widowControl w:val="off"/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 w:eastAsiaTheme="minorEastAsia"/>
          <w:color w:val="000000" w:themeColor="text1"/>
          <w:spacing w:val="40"/>
          <w:sz w:val="22"/>
          <w:szCs w:val="24"/>
          <w:highlight w:val="none"/>
        </w:rPr>
        <w:t xml:space="preserve">Примечание</w:t>
      </w:r>
      <w:r>
        <w:rPr>
          <w:rFonts w:ascii="Arial" w:hAnsi="Arial" w:cs="Arial" w:eastAsiaTheme="minorEastAsia"/>
          <w:color w:val="000000" w:themeColor="text1"/>
          <w:sz w:val="22"/>
          <w:szCs w:val="24"/>
          <w:highlight w:val="none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4"/>
          <w:highlight w:val="none"/>
        </w:rPr>
        <w:t xml:space="preserve">– При пользовании настоящим стандартом целесообразно проверить действие ссылочных межгосударственных и национальных стандартов в информационной системе общего пользования – на официальном сайте Федерального органа исполнител</w:t>
      </w:r>
      <w:r>
        <w:rPr>
          <w:rFonts w:ascii="Arial" w:hAnsi="Arial" w:cs="Arial"/>
          <w:bCs/>
          <w:color w:val="000000" w:themeColor="text1"/>
          <w:sz w:val="22"/>
          <w:szCs w:val="24"/>
          <w:highlight w:val="none"/>
        </w:rPr>
        <w:t xml:space="preserve">ьной власти в сфере стандартизации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</w:t>
      </w:r>
      <w:r>
        <w:rPr>
          <w:rFonts w:ascii="Arial" w:hAnsi="Arial" w:cs="Arial"/>
          <w:bCs/>
          <w:color w:val="000000" w:themeColor="text1"/>
          <w:sz w:val="22"/>
          <w:szCs w:val="24"/>
          <w:highlight w:val="none"/>
        </w:rPr>
        <w:t xml:space="preserve">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</w:t>
      </w:r>
      <w:r>
        <w:rPr>
          <w:rFonts w:ascii="Arial" w:hAnsi="Arial" w:cs="Arial"/>
          <w:bCs/>
          <w:color w:val="000000" w:themeColor="text1"/>
          <w:sz w:val="22"/>
          <w:szCs w:val="24"/>
          <w:highlight w:val="none"/>
        </w:rPr>
        <w:t xml:space="preserve">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документ, на который дана датированная ссылка, внесено изменение, затрагивающее</w:t>
      </w:r>
      <w:r>
        <w:rPr>
          <w:rFonts w:ascii="Arial" w:hAnsi="Arial" w:cs="Arial"/>
          <w:bCs/>
          <w:color w:val="000000" w:themeColor="text1"/>
          <w:sz w:val="22"/>
          <w:szCs w:val="24"/>
          <w:highlight w:val="none"/>
        </w:rPr>
        <w:t xml:space="preserve"> положение, на 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ссылку.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</w:p>
    <w:p>
      <w:pPr>
        <w:ind w:firstLine="567"/>
        <w:jc w:val="both"/>
        <w:spacing w:line="360" w:lineRule="auto"/>
        <w:widowControl w:val="off"/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</w:p>
    <w:p>
      <w:pPr>
        <w:ind w:firstLine="567"/>
        <w:jc w:val="both"/>
        <w:spacing w:line="360" w:lineRule="auto"/>
        <w:widowControl w:val="off"/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</w:p>
    <w:p>
      <w:pPr>
        <w:ind w:firstLine="567"/>
        <w:jc w:val="both"/>
        <w:spacing w:line="360" w:lineRule="auto"/>
        <w:widowControl w:val="off"/>
        <w:rPr>
          <w:rFonts w:ascii="Arial" w:hAnsi="Arial" w:cs="Arial"/>
          <w:color w:val="000000" w:themeColor="text1"/>
          <w:sz w:val="22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2"/>
          <w:szCs w:val="24"/>
          <w:highlight w:val="none"/>
        </w:rPr>
      </w:r>
      <w:r>
        <w:rPr>
          <w:rFonts w:ascii="Arial" w:hAnsi="Arial" w:cs="Arial"/>
          <w:color w:val="000000" w:themeColor="text1"/>
          <w:sz w:val="22"/>
          <w:szCs w:val="24"/>
          <w:highlight w:val="none"/>
        </w:rPr>
      </w:r>
      <w:r>
        <w:rPr>
          <w:rFonts w:ascii="Arial" w:hAnsi="Arial" w:cs="Arial"/>
          <w:color w:val="000000" w:themeColor="text1"/>
          <w:sz w:val="22"/>
          <w:szCs w:val="24"/>
          <w:highlight w:val="none"/>
        </w:rPr>
      </w:r>
    </w:p>
    <w:p>
      <w:pPr>
        <w:pStyle w:val="1647"/>
        <w:rPr>
          <w:color w:val="000000" w:themeColor="text1"/>
          <w:highlight w:val="none"/>
        </w:rPr>
      </w:pPr>
      <w:r>
        <w:rPr>
          <w:highlight w:val="none"/>
        </w:rPr>
      </w:r>
      <w:bookmarkStart w:id="4" w:name="_Toc183700733"/>
      <w:r>
        <w:rPr>
          <w:highlight w:val="none"/>
        </w:rPr>
      </w:r>
      <w:bookmarkStart w:id="5" w:name="_Toc189667658"/>
      <w:r>
        <w:rPr>
          <w:color w:val="000000" w:themeColor="text1"/>
          <w:highlight w:val="none"/>
        </w:rPr>
        <w:t xml:space="preserve">3 </w:t>
      </w:r>
      <w:r>
        <w:rPr>
          <w:rStyle w:val="1865"/>
          <w:b/>
          <w:color w:val="000000" w:themeColor="text1"/>
          <w:highlight w:val="none"/>
        </w:rPr>
        <w:t xml:space="preserve">Термины, определения и сокращения</w:t>
      </w:r>
      <w:bookmarkEnd w:id="4"/>
      <w:r>
        <w:rPr>
          <w:highlight w:val="none"/>
        </w:rPr>
      </w:r>
      <w:bookmarkEnd w:id="5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keepNext/>
        <w:spacing w:line="360" w:lineRule="auto"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</w:p>
    <w:p>
      <w:pPr>
        <w:pStyle w:val="1846"/>
        <w:ind w:firstLine="510"/>
        <w:jc w:val="both"/>
        <w:keepNext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 В настоящем стандарте применены термины по 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:lang w:val="en-US"/>
        </w:rPr>
        <w:t xml:space="preserve">ISO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 9000 [1]</w:t>
      </w:r>
      <w:r>
        <w:rPr>
          <w:rStyle w:val="1825"/>
          <w:color w:val="000000" w:themeColor="text1"/>
          <w:highlight w:val="none"/>
        </w:rPr>
        <w:footnoteReference w:id="3"/>
      </w:r>
      <w:r>
        <w:rPr>
          <w:rFonts w:ascii="Arial" w:hAnsi="Arial" w:cs="Arial"/>
          <w:color w:val="000000" w:themeColor="text1"/>
          <w:sz w:val="24"/>
          <w:szCs w:val="24"/>
          <w:highlight w:val="none"/>
          <w:vertAlign w:val="superscript"/>
        </w:rPr>
        <w:t xml:space="preserve">)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, ГОСТ 12.0.002, ГОСТ 27.002, а также термины с соответствующими определениями: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3.1.1 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безопасность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 Со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стояние,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46"/>
        <w:ind w:firstLine="510"/>
        <w:jc w:val="both"/>
        <w:keepNext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3.1.2 </w:t>
      </w: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  <w:t xml:space="preserve">газораспределение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: Деятельность по транспортировке газа по сети газораспределения.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846"/>
        <w:ind w:firstLine="510"/>
        <w:jc w:val="both"/>
        <w:keepNext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3.1.3 </w:t>
      </w: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  <w:t xml:space="preserve">газораспределительная организация;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ГРО: Специализированная организация, которая владеет на праве собственности или ином законном основании сетью газораспределения и осуществляет регулируемый вид деятельности по оказанию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услуг по транспортировке газа по сетям газораспределения и по технологическому присоединению газоиспользующего оборудования к сет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ям газораспределения, обеспечивает подачу газа его потребителям, осуществляет деятельность по техническому обслуживанию и ремонту внутридомового и (или) внутриквартирного газового оборудования, а также эксплуатацию и развитие газораспределительной системы.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3.1.4 </w:t>
      </w: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  <w:t xml:space="preserve">газораспределительная система</w:t>
      </w:r>
      <w:r>
        <w:rPr>
          <w:rFonts w:ascii="Arial" w:hAnsi="Arial" w:cs="Arial" w:eastAsiaTheme="minorEastAsia"/>
          <w:bCs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sz w:val="24"/>
          <w:szCs w:val="24"/>
          <w:highlight w:val="none"/>
        </w:rPr>
        <w:t xml:space="preserve">Имущественный производственный комплекс, состоящий из организационно и экономически связанных объектов, предназначенных для транспортировки и подачи газа непосредственно его потребителям.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3.1.5 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газотранспортная организация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 Обеспечивающая транспортировку газа по магистральным газопроводам организация, у которой магистральные газопроводы находятся в собственности или на иных законных основаниях.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3.1.6 </w:t>
      </w: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  <w:t xml:space="preserve">жизненный цикл сети газораспределения</w:t>
      </w:r>
      <w:r>
        <w:rPr>
          <w:rFonts w:ascii="Arial" w:hAnsi="Arial" w:cs="Arial" w:eastAsiaTheme="minorEastAsia"/>
          <w:bCs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Период, в течение которого осуществляются проектирование, строительство, реконструкция, техническое перевооружение и эксплуатация сети газораспределения до ее ликвидации.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3.1.7 </w:t>
      </w: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  <w:t xml:space="preserve">заинтересованная сторона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Лицо или организация, которые могут воздействовать на осуществление деятельности или принятия решения, быть подверженными их воздействию или воспринимать себя в качестве последних.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/>
          <w:color w:val="000000" w:themeColor="text1"/>
          <w:sz w:val="22"/>
          <w:highlight w:val="none"/>
        </w:rPr>
      </w:pPr>
      <w:r>
        <w:rPr>
          <w:rFonts w:ascii="Arial" w:hAnsi="Arial" w:cs="Arial"/>
          <w:color w:val="000000" w:themeColor="text1"/>
          <w:spacing w:val="40"/>
          <w:sz w:val="22"/>
          <w:highlight w:val="none"/>
        </w:rPr>
        <w:t xml:space="preserve">Примечание</w:t>
      </w:r>
      <w:r>
        <w:rPr>
          <w:rFonts w:ascii="Arial" w:hAnsi="Arial" w:cs="Arial"/>
          <w:color w:val="000000" w:themeColor="text1"/>
          <w:sz w:val="22"/>
          <w:highlight w:val="none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4"/>
          <w:highlight w:val="none"/>
        </w:rPr>
        <w:t xml:space="preserve">– </w:t>
      </w:r>
      <w:r>
        <w:rPr>
          <w:rFonts w:ascii="Arial" w:hAnsi="Arial" w:cs="Arial"/>
          <w:color w:val="000000" w:themeColor="text1"/>
          <w:sz w:val="22"/>
          <w:highlight w:val="none"/>
        </w:rPr>
        <w:t xml:space="preserve">К заинтересованным сторонам в дан</w:t>
      </w:r>
      <w:r>
        <w:rPr>
          <w:rFonts w:ascii="Arial" w:hAnsi="Arial" w:cs="Arial"/>
          <w:color w:val="000000" w:themeColor="text1"/>
          <w:sz w:val="22"/>
          <w:highlight w:val="none"/>
        </w:rPr>
        <w:t xml:space="preserve">ном стандарте относятся потребители услуг по транспортировке газа и потребители газа, газотранспортные организации, заявители по подключению к сетям газораспределения, подрядные организации, органы исполнительной власти, надзорные организации, третьи лица.</w:t>
      </w:r>
      <w:r>
        <w:rPr>
          <w:rFonts w:ascii="Arial" w:hAnsi="Arial" w:cs="Arial"/>
          <w:color w:val="000000" w:themeColor="text1"/>
          <w:sz w:val="22"/>
          <w:highlight w:val="none"/>
        </w:rPr>
      </w:r>
      <w:r>
        <w:rPr>
          <w:rFonts w:ascii="Arial" w:hAnsi="Arial" w:cs="Arial"/>
          <w:color w:val="000000" w:themeColor="text1"/>
          <w:sz w:val="22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3.1.8 </w:t>
      </w: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  <w:t xml:space="preserve">значимый экологический аспект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: Элемент деятельности организаци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и, ее продукции или услуг, который взаимодействует или может взаимодействовать с окружающей средой и оказывает или может оказать значительное воздействие на нее, признанное в результате проведенной в организации оценки, существенным, серьезным или опасным.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3.1.9 </w:t>
      </w: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  <w:t xml:space="preserve">источник газа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: Элемент системы газоснабжения, предназначенный для подачи природного газа в сеть газораспределения природного газа.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 w:eastAsiaTheme="minorEastAsia"/>
          <w:color w:val="000000" w:themeColor="text1"/>
          <w:spacing w:val="40"/>
          <w:sz w:val="22"/>
          <w:highlight w:val="none"/>
        </w:rPr>
        <w:t xml:space="preserve">Примечание</w:t>
      </w:r>
      <w:r>
        <w:rPr>
          <w:rFonts w:ascii="Arial" w:hAnsi="Arial" w:cs="Arial" w:eastAsiaTheme="minorEastAsia"/>
          <w:color w:val="000000" w:themeColor="text1"/>
          <w:sz w:val="22"/>
          <w:highlight w:val="none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4"/>
          <w:highlight w:val="none"/>
        </w:rPr>
        <w:t xml:space="preserve">– К источникам газа относят: газораспределительные станции (ГРС), автоматизированные газораспределительные станции (АГРС), контрольно-распределительные пункты.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3.1.10 </w:t>
      </w: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  <w:t xml:space="preserve">клиентская служба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Служба, специалисты которой взаимодействуют с потребителями услуг организации на всех этапах их оказания.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3.1.11 </w:t>
      </w: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  <w:t xml:space="preserve">компетенции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: Совокупность знаний, навыков, умений и личностных качеств, которые позволяют сотруднику эффективно выполнять свои профессиональные обязанности.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3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.1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.12 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корректирующее действие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Действие, предпринятое для устранения причины обнаруженного несоответствия или другой нежелательной ситуации.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3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.1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.13 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мониторинг технического состояния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 Комплекс работ, выполняемых с заданной периодичностью, а также при необходимости в процессе эксплуатации сети газораспределения, для определения ее технического состояния в данный момент времени.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3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.1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.14 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надежность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 Свойс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тво объекта сохранять во времени в установленных пределах значения всех параметров, характеризующих способность объекта выполнять требуемые функции в заданных режимах, условиях применения, стратегиях технического обслуживания, хранения и транспортирования.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3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.1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.15 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несоответствие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Невыполнение установленного требования.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3.1.16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организация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 Лицо или группа лиц, обладающая своими собственными функциями с обязанностями, полномочиями и взаимосвязями для достижения своих целей.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3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.1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.17 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подключение (технологическое присоединение)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 Совокупность организационных и технических действий, включая врезку и пуск газа, дающих возможность использовать газ для удовлетворения личных, семейных, домашних и иных нужд, осуществления предпринимательской (профессиональной) деятельности.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3.1.18 </w:t>
      </w: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  <w:t xml:space="preserve">потребитель услуг по транспортировке газа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 Организация, которая владеет газом или уполномочена собственником на п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оставку газа потребителям и которая заключает с газораспределительной организацией договора на транспортировку газа от магистральных газопроводов или других источников газа по газораспределительной системе (сети газораспределения) до сетей газопотребления.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3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.1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.19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предупреждающее действие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 Действие,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предпринимаемое для устранения причины возможного несоответствия или другой возможной нежелательной ситуации.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tabs>
          <w:tab w:val="left" w:pos="567" w:leader="none"/>
        </w:tabs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3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.1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.20 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производственная безопасность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 Состояние защищенности основных фондов, работников, а также третьих лиц (включая их имущество) и окружающей среды от воздействия негативных факторов, происшествий, вредных и опасных производственных факторов.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tabs>
          <w:tab w:val="left" w:pos="567" w:leader="none"/>
        </w:tabs>
        <w:rPr>
          <w:rFonts w:ascii="Arial" w:hAnsi="Arial" w:cs="Arial" w:eastAsiaTheme="minorEastAsia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 w:eastAsiaTheme="minorEastAsia"/>
          <w:color w:val="000000" w:themeColor="text1"/>
          <w:spacing w:val="40"/>
          <w:sz w:val="22"/>
          <w:highlight w:val="none"/>
        </w:rPr>
        <w:t xml:space="preserve">Примечание</w:t>
      </w:r>
      <w:r>
        <w:rPr>
          <w:rFonts w:ascii="Arial" w:hAnsi="Arial" w:cs="Arial" w:eastAsiaTheme="minorEastAsia"/>
          <w:color w:val="000000" w:themeColor="text1"/>
          <w:sz w:val="22"/>
          <w:highlight w:val="none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4"/>
          <w:highlight w:val="none"/>
        </w:rPr>
        <w:t xml:space="preserve">– </w:t>
      </w:r>
      <w:r>
        <w:rPr>
          <w:rFonts w:ascii="Arial" w:hAnsi="Arial" w:cs="Arial" w:eastAsiaTheme="minorEastAsia"/>
          <w:color w:val="000000" w:themeColor="text1"/>
          <w:sz w:val="22"/>
          <w:highlight w:val="none"/>
        </w:rPr>
        <w:t xml:space="preserve">Составляющими производственной безопасности являются охрана труда, промышленная и пожарная безопасность, безопасность дорожного движения.</w:t>
      </w:r>
      <w:r>
        <w:rPr>
          <w:rFonts w:ascii="Arial" w:hAnsi="Arial" w:cs="Arial" w:eastAsiaTheme="minorEastAsia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2"/>
          <w:szCs w:val="22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3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.1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.21 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происшествие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 Любое нежелате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льное событие, случившееся в организации, которое привело или могло привести к ущербу здоровья работника или третьих лиц, имуществу организации или третьих лиц (авария, инцидент, несчастный случай на производстве, пожар, дорожно-транспортное происшествие).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3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.1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.22 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процесс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 Совокупность взаимосвязанных или взаимодействующих видов деятельности, преобразующая входы в выходы.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3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.1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.23 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риск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 Влияние неопределенности.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3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.1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.24 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риск-ориентированное мышление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 Планирование и внедрение мероприятий и методов, используемых организацией для управления и контроля рисками, влияющими на способность достигать запланированных целей.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3.1.25</w:t>
      </w: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  <w:t xml:space="preserve">сеть газораспределения природного газа</w:t>
      </w:r>
      <w:r>
        <w:rPr>
          <w:rFonts w:ascii="Arial" w:hAnsi="Arial" w:cs="Arial" w:eastAsiaTheme="minorEastAsia"/>
          <w:bCs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Техн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ологический комплекс газораспределительной системы, включающий в себя наружные газопроводы и другие сооружения, а также технические и технологические устройства, предназначенный для транспортировки природного газа от источника газа до сети газопотребления.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sz w:val="22"/>
          <w:szCs w:val="22"/>
          <w:highlight w:val="none"/>
        </w:rPr>
      </w:pPr>
      <w:r>
        <w:rPr>
          <w:rFonts w:ascii="Arial" w:hAnsi="Arial" w:cs="Arial" w:eastAsiaTheme="minorEastAsia"/>
          <w:spacing w:val="40"/>
          <w:sz w:val="22"/>
          <w:szCs w:val="22"/>
          <w:highlight w:val="none"/>
        </w:rPr>
        <w:t xml:space="preserve">Примечание</w:t>
      </w:r>
      <w:r>
        <w:rPr>
          <w:rFonts w:ascii="Arial" w:hAnsi="Arial" w:cs="Arial" w:eastAsiaTheme="minorEastAsia"/>
          <w:sz w:val="22"/>
          <w:szCs w:val="22"/>
          <w:highlight w:val="none"/>
        </w:rPr>
        <w:t xml:space="preserve"> – К сооружениям на сети газораспределения относятся колодцы, футляры с контрольными трубками и т.п.</w:t>
      </w:r>
      <w:r>
        <w:rPr>
          <w:rFonts w:ascii="Arial" w:hAnsi="Arial" w:cs="Arial" w:eastAsiaTheme="minorEastAsia"/>
          <w:sz w:val="22"/>
          <w:szCs w:val="22"/>
          <w:highlight w:val="none"/>
        </w:rPr>
      </w:r>
      <w:r>
        <w:rPr>
          <w:rFonts w:ascii="Arial" w:hAnsi="Arial" w:cs="Arial" w:eastAsiaTheme="minorEastAsia"/>
          <w:sz w:val="22"/>
          <w:szCs w:val="22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3.1.26 </w:t>
      </w: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  <w:t xml:space="preserve">система управления сетями газораспределения</w:t>
      </w:r>
      <w:r>
        <w:rPr>
          <w:rFonts w:ascii="Arial" w:hAnsi="Arial" w:cs="Arial" w:eastAsiaTheme="minorEastAsia"/>
          <w:bCs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Комплекс организационно-технических мероприяти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й, реализуемых на всех стадиях жизненного цикла сети газораспределения, по обеспечению функционирования сети газораспределения в соответствии с нормативными требованиями и договорными обязательствами, а также в соответствии с целями и задачами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eastAsia="PT Astra Serif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3.1.27 </w:t>
      </w:r>
      <w:r>
        <w:rPr>
          <w:rFonts w:ascii="Arial" w:hAnsi="Arial" w:eastAsia="PT Astra Serif" w:cs="Arial"/>
          <w:b/>
          <w:color w:val="000000" w:themeColor="text1"/>
          <w:sz w:val="24"/>
          <w:szCs w:val="24"/>
          <w:highlight w:val="none"/>
        </w:rPr>
        <w:t xml:space="preserve">служба (служба организации)</w:t>
      </w:r>
      <w:r>
        <w:rPr>
          <w:rFonts w:ascii="Arial" w:hAnsi="Arial" w:eastAsia="PT Astra Serif" w:cs="Arial"/>
          <w:color w:val="000000" w:themeColor="text1"/>
          <w:sz w:val="24"/>
          <w:szCs w:val="24"/>
          <w:highlight w:val="none"/>
        </w:rPr>
        <w:t xml:space="preserve">: Структурное подразделение, выделенное в схеме организационной</w:t>
      </w:r>
      <w:r>
        <w:rPr>
          <w:rFonts w:ascii="Arial" w:hAnsi="Arial" w:eastAsia="PT Astra Serif" w:cs="Arial"/>
          <w:color w:val="000000" w:themeColor="text1"/>
          <w:sz w:val="24"/>
          <w:szCs w:val="24"/>
          <w:highlight w:val="none"/>
        </w:rPr>
        <w:t xml:space="preserve"> структуры организации, осуществляющее определенные направления деятельности (функции), регламентированные утвержденным руководством организации положением о данном подразделении, выполнение которых влияет на ход процесса и достижение конечного результата.</w:t>
      </w:r>
      <w:r>
        <w:rPr>
          <w:rFonts w:ascii="Arial" w:hAnsi="Arial" w:eastAsia="PT Astra Serif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PT Astra Serif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2"/>
          <w:szCs w:val="22"/>
          <w:highlight w:val="none"/>
        </w:rPr>
      </w:pPr>
      <w:r>
        <w:rPr>
          <w:rFonts w:ascii="Arial" w:hAnsi="Arial" w:eastAsia="PT Astra Serif" w:cs="Arial"/>
          <w:color w:val="000000" w:themeColor="text1"/>
          <w:spacing w:val="40"/>
          <w:sz w:val="22"/>
          <w:szCs w:val="22"/>
          <w:highlight w:val="none"/>
        </w:rPr>
        <w:t xml:space="preserve">Примечание </w:t>
      </w:r>
      <w:r>
        <w:rPr>
          <w:rFonts w:ascii="Arial" w:hAnsi="Arial" w:eastAsia="PT Astra Serif" w:cs="Arial"/>
          <w:color w:val="000000" w:themeColor="text1"/>
          <w:sz w:val="22"/>
          <w:szCs w:val="22"/>
          <w:highlight w:val="none"/>
        </w:rPr>
        <w:t xml:space="preserve">– В состав службы может входить одно или несколько структурных подразделений организации.</w:t>
      </w:r>
      <w:r>
        <w:rPr>
          <w:rFonts w:ascii="Arial" w:hAnsi="Arial" w:cs="Arial" w:eastAsiaTheme="minorEastAsia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2"/>
          <w:szCs w:val="22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3.1.28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среда управления сетями газораспределения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 Потребители услуг по транспортировке газа, поставщики и потребители газа и услуг, подрядчики, заинтересованные стороны, организационная структура и штатная численность, газораспределите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льные сети собственные или эксплуатируемые на иных законных основаниях, здания, сооружения, законодательные и нормативные требования, регламентирующие процессы газораспределения, информационные системы, стандарты, директивы и модели, принятые организацией.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3.1.29 </w:t>
      </w: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  <w:t xml:space="preserve">технические характеристики сетей газораспределения</w:t>
      </w:r>
      <w:r>
        <w:rPr>
          <w:rFonts w:ascii="Arial" w:hAnsi="Arial" w:cs="Arial" w:eastAsiaTheme="minorEastAsia"/>
          <w:bCs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Проектные и рабочие характеристики распределительных газопроводов, газопроводов-вводов, сооружений, технических и технологических устройств, входящих в технологический комплекс сетей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3.1.30 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участник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 Физическое или юридическое лицо из числа заинтересованных сторон, служба организации, принимающие участие в процессе, действия которых непосредственно влияют на ход процесса и достижение конечных целей.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3.1.31 </w:t>
      </w: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  <w:t xml:space="preserve">третьи лица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: Физические или юридически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е лица, которые оказывают или получают прочие услуги, получают разрешения на работу в охранных зонах сетей газораспределения, согласовывают газораспределительным организациям работы на своих земельных участках, объектах и в охранных зонах своих сооружений.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3.1.32 </w:t>
      </w: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  <w:t xml:space="preserve">эксплуатационная</w:t>
      </w: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  <w:t xml:space="preserve"> организация сети газораспределения</w:t>
      </w:r>
      <w:r>
        <w:rPr>
          <w:rFonts w:ascii="Arial" w:hAnsi="Arial" w:cs="Arial" w:eastAsiaTheme="minorEastAsia"/>
          <w:bCs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Юридическое лицо, осуществляющее эксплуатацию сети газораспределения и/или оказывающее услуги по ее техническому обслуживанию и ремонту на законных основаниях.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3.1.33 </w:t>
      </w: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</w:r>
    </w:p>
    <w:tbl>
      <w:tblPr>
        <w:tblW w:w="9705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05"/>
      </w:tblGrid>
      <w:tr>
        <w:tblPrEx/>
        <w:trPr>
          <w:trHeight w:val="270"/>
        </w:trPr>
        <w:tc>
          <w:tcPr>
            <w:tcW w:w="9705" w:type="dxa"/>
            <w:textDirection w:val="lrTb"/>
            <w:noWrap w:val="false"/>
          </w:tcPr>
          <w:p>
            <w:pPr>
              <w:ind w:firstLine="510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эксплуатация (сети газораспределения и/или сети газопотребления): 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Комплекс мероприятий по обеспечению использования сети газораспределения по функциональному назначению, определенному в проектной и/или рабочей документации.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510"/>
              <w:jc w:val="both"/>
              <w:spacing w:line="360" w:lineRule="auto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pacing w:val="40"/>
                <w:sz w:val="22"/>
                <w:highlight w:val="none"/>
              </w:rPr>
              <w:t xml:space="preserve">Примечание</w:t>
            </w:r>
            <w:r>
              <w:rPr>
                <w:rFonts w:ascii="Arial" w:hAnsi="Arial" w:cs="Arial"/>
                <w:color w:val="000000" w:themeColor="text1"/>
                <w:sz w:val="22"/>
                <w:highlight w:val="none"/>
              </w:rPr>
              <w:t xml:space="preserve"> – Эксплуатация, как правило, включает в себя в</w:t>
            </w:r>
            <w:r>
              <w:rPr>
                <w:rFonts w:ascii="Arial" w:hAnsi="Arial" w:cs="Arial"/>
                <w:color w:val="000000" w:themeColor="text1"/>
                <w:sz w:val="22"/>
                <w:highlight w:val="none"/>
              </w:rPr>
              <w:t xml:space="preserve">вод в эксплуатацию, мониторинг технического состояния, техническое обслуживание, техническое диагностирование, текущий и капитальный ремонты, аварийно-диспетчерское обслуживание, консервацию и вывод из эксплуатации сети газораспределения (газопотребления).</w:t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</w:p>
          <w:p>
            <w:pPr>
              <w:ind w:firstLine="510"/>
              <w:jc w:val="both"/>
              <w:spacing w:line="360" w:lineRule="auto"/>
              <w:widowControl w:val="off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[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ГОСТ 34741-2021, статья 3.1.36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]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jc w:val="both"/>
        <w:spacing w:line="360" w:lineRule="auto"/>
        <w:widowControl w:val="off"/>
        <w:rPr>
          <w:rFonts w:ascii="Arial" w:hAnsi="Arial" w:cs="Arial" w:eastAsiaTheme="minorEastAsia"/>
          <w:b/>
          <w:bCs/>
          <w:color w:val="000000" w:themeColor="text1"/>
          <w:sz w:val="6"/>
          <w:szCs w:val="6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sz w:val="6"/>
          <w:szCs w:val="6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sz w:val="6"/>
          <w:szCs w:val="6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sz w:val="6"/>
          <w:szCs w:val="6"/>
          <w:highlight w:val="none"/>
        </w:rPr>
      </w:r>
    </w:p>
    <w:p>
      <w:pPr>
        <w:ind w:firstLine="510"/>
        <w:jc w:val="both"/>
        <w:spacing w:line="360" w:lineRule="auto"/>
        <w:widowControl w:val="off"/>
        <w:tabs>
          <w:tab w:val="left" w:pos="567" w:leader="none"/>
        </w:tabs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3.1.34 </w:t>
      </w: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  <w:t xml:space="preserve">экономически эффективная деятельность</w:t>
      </w:r>
      <w:r>
        <w:rPr>
          <w:rFonts w:ascii="Arial" w:hAnsi="Arial" w:cs="Arial" w:eastAsiaTheme="minorEastAsia"/>
          <w:bCs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Деятельность, стоимость результатов которой за установленный период времени превышает затраты на их реализацию/достижение.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tabs>
          <w:tab w:val="left" w:pos="567" w:leader="none"/>
        </w:tabs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3.2 В настоящем стандарте применены следующие сокращения: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tabs>
          <w:tab w:val="left" w:pos="567" w:leader="none"/>
        </w:tabs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АДС – аварийно-диспетчерская служба;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tabs>
          <w:tab w:val="left" w:pos="567" w:leader="none"/>
        </w:tabs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АПК – административно-производственный контроль;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tabs>
          <w:tab w:val="left" w:pos="567" w:leader="none"/>
        </w:tabs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ГРС – газораспределительная станция;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tabs>
          <w:tab w:val="left" w:pos="567" w:leader="none"/>
        </w:tabs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ИД – исполнительная документация;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tabs>
          <w:tab w:val="left" w:pos="567" w:leader="none"/>
        </w:tabs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ЛНА – локальные нормативные акты;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tabs>
          <w:tab w:val="left" w:pos="567" w:leader="none"/>
        </w:tabs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МТР – материально-технические ресурсы;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tabs>
          <w:tab w:val="left" w:pos="567" w:leader="none"/>
        </w:tabs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ОПО – опасный производственный объект;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tabs>
          <w:tab w:val="left" w:pos="567" w:leader="none"/>
        </w:tabs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ПРГ – пункт редуцирования газа;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tabs>
          <w:tab w:val="left" w:pos="567" w:leader="none"/>
        </w:tabs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ПСД – проектно-сметная документация;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tabs>
          <w:tab w:val="left" w:pos="567" w:leader="none"/>
        </w:tabs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ТУ – технические условия.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12"/>
          <w:szCs w:val="1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12"/>
          <w:szCs w:val="1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12"/>
          <w:szCs w:val="1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12"/>
          <w:szCs w:val="14"/>
          <w:highlight w:val="none"/>
        </w:rPr>
      </w:r>
    </w:p>
    <w:p>
      <w:pPr>
        <w:pStyle w:val="1647"/>
        <w:rPr>
          <w:color w:val="000000" w:themeColor="text1"/>
          <w:highlight w:val="none"/>
        </w:rPr>
      </w:pPr>
      <w:r>
        <w:rPr>
          <w:highlight w:val="none"/>
        </w:rPr>
      </w:r>
      <w:bookmarkStart w:id="6" w:name="_Toc189667659"/>
      <w:r>
        <w:rPr>
          <w:highlight w:val="none"/>
        </w:rPr>
      </w:r>
      <w:bookmarkStart w:id="7" w:name="_Toc183700734"/>
      <w:r>
        <w:rPr>
          <w:color w:val="000000" w:themeColor="text1"/>
          <w:highlight w:val="none"/>
        </w:rPr>
        <w:t xml:space="preserve">4 </w:t>
      </w:r>
      <w:r>
        <w:rPr>
          <w:rStyle w:val="1865"/>
          <w:b/>
          <w:color w:val="000000" w:themeColor="text1"/>
          <w:highlight w:val="none"/>
        </w:rPr>
        <w:t xml:space="preserve">Система управления, процессный подход</w:t>
      </w:r>
      <w:bookmarkEnd w:id="6"/>
      <w:r>
        <w:rPr>
          <w:highlight w:val="none"/>
        </w:rPr>
      </w:r>
      <w:bookmarkEnd w:id="7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both"/>
        <w:keepNext/>
        <w:spacing w:line="360" w:lineRule="auto"/>
        <w:rPr>
          <w:rFonts w:ascii="Arial" w:hAnsi="Arial" w:cs="Arial"/>
          <w:b/>
          <w:color w:val="000000" w:themeColor="text1"/>
          <w:sz w:val="8"/>
          <w:szCs w:val="10"/>
          <w:highlight w:val="none"/>
        </w:rPr>
      </w:pPr>
      <w:r>
        <w:rPr>
          <w:rFonts w:ascii="Arial" w:hAnsi="Arial" w:cs="Arial"/>
          <w:b/>
          <w:color w:val="000000" w:themeColor="text1"/>
          <w:sz w:val="8"/>
          <w:szCs w:val="10"/>
          <w:highlight w:val="none"/>
        </w:rPr>
      </w:r>
      <w:r>
        <w:rPr>
          <w:rFonts w:ascii="Arial" w:hAnsi="Arial" w:cs="Arial"/>
          <w:b/>
          <w:color w:val="000000" w:themeColor="text1"/>
          <w:sz w:val="8"/>
          <w:szCs w:val="10"/>
          <w:highlight w:val="none"/>
        </w:rPr>
      </w:r>
      <w:r>
        <w:rPr>
          <w:rFonts w:ascii="Arial" w:hAnsi="Arial" w:cs="Arial"/>
          <w:b/>
          <w:color w:val="000000" w:themeColor="text1"/>
          <w:sz w:val="8"/>
          <w:szCs w:val="10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highlight w:val="none"/>
        </w:rPr>
      </w:r>
      <w:bookmarkStart w:id="8" w:name="_Toc189667660"/>
      <w:r>
        <w:rPr>
          <w:highlight w:val="none"/>
        </w:rPr>
      </w:r>
      <w:bookmarkStart w:id="9" w:name="_Toc183700735"/>
      <w:r>
        <w:rPr>
          <w:color w:val="000000" w:themeColor="text1"/>
          <w:highlight w:val="none"/>
        </w:rPr>
        <w:t xml:space="preserve">4.1 </w:t>
      </w:r>
      <w:r>
        <w:rPr>
          <w:rStyle w:val="1867"/>
          <w:b/>
          <w:color w:val="000000" w:themeColor="text1"/>
          <w:highlight w:val="none"/>
        </w:rPr>
        <w:t xml:space="preserve">Система управления</w:t>
      </w:r>
      <w:bookmarkEnd w:id="8"/>
      <w:r>
        <w:rPr>
          <w:highlight w:val="none"/>
        </w:rPr>
      </w:r>
      <w:bookmarkEnd w:id="9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4.1.1 Система управления сетями газораспределения должна создаваться в ГРО, а также в организациях, выполняющих работы по строительству, реконструкции, техническому перевооружению и эксплуатации сетей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4.1.2 Система управления сетями газораспределения распространяются на весь жизненный цикл сети газораспределения, а также на среду управления.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6"/>
          <w:szCs w:val="1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6"/>
          <w:szCs w:val="1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6"/>
          <w:szCs w:val="1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6"/>
          <w:szCs w:val="14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highlight w:val="none"/>
        </w:rPr>
      </w:r>
      <w:bookmarkStart w:id="10" w:name="_Toc183700736"/>
      <w:r>
        <w:rPr>
          <w:highlight w:val="none"/>
        </w:rPr>
      </w:r>
      <w:bookmarkStart w:id="11" w:name="_Toc189667661"/>
      <w:r>
        <w:rPr>
          <w:color w:val="000000" w:themeColor="text1"/>
          <w:highlight w:val="none"/>
        </w:rPr>
        <w:t xml:space="preserve">4.2 </w:t>
      </w:r>
      <w:r>
        <w:rPr>
          <w:rStyle w:val="1867"/>
          <w:b/>
          <w:color w:val="000000" w:themeColor="text1"/>
          <w:highlight w:val="none"/>
        </w:rPr>
        <w:t xml:space="preserve">Процессный подход</w:t>
      </w:r>
      <w:bookmarkEnd w:id="10"/>
      <w:r>
        <w:rPr>
          <w:highlight w:val="none"/>
        </w:rPr>
      </w:r>
      <w:bookmarkEnd w:id="11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4.2.1 Настоящий стандарт направлен на применение процессного подхода при разработке, вне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дрении и улучшении результативности систем менеджмента качества, менеджмента рисков, экологического менеджмента, менеджмента производственной безопасности, в целях повышения удовлетворенности потребителей услуг организации путем выполнения их обоснованных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требований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6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6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6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6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4.2.2 Процессный подход формируется на основе методологии PDCA ("Plan–Do–Check-Act")</w:t>
      </w:r>
      <w:r>
        <w:rPr>
          <w:rStyle w:val="1825"/>
          <w:rFonts w:eastAsiaTheme="minorEastAsia"/>
          <w:color w:val="000000" w:themeColor="text1"/>
          <w:highlight w:val="none"/>
        </w:rPr>
        <w:footnoteReference w:id="4"/>
      </w:r>
      <w:r>
        <w:rPr>
          <w:rStyle w:val="1825"/>
          <w:rFonts w:eastAsiaTheme="minorEastAsia"/>
          <w:color w:val="000000" w:themeColor="text1"/>
          <w:highlight w:val="none"/>
        </w:rPr>
        <w:t xml:space="preserve">)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 "Планирование - Выполнение - Контроль - Действие".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Схема системы управления показана на рисунке 1.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center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16"/>
          <w:szCs w:val="16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16"/>
          <w:szCs w:val="16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90615" cy="3612515"/>
                <wp:effectExtent l="0" t="0" r="635" b="6985"/>
                <wp:docPr id="1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46"/>
                        <a:stretch/>
                      </pic:blipFill>
                      <pic:spPr bwMode="auto">
                        <a:xfrm>
                          <a:off x="0" y="0"/>
                          <a:ext cx="6210286" cy="362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487.45pt;height:284.45pt;mso-wrap-distance-left:0.00pt;mso-wrap-distance-top:0.00pt;mso-wrap-distance-right:0.00pt;mso-wrap-distance-bottom:0.00pt;" stroked="f">
                <v:path textboxrect="0,0,0,0"/>
                <v:imagedata r:id="rId46" o:title=""/>
              </v:shape>
            </w:pict>
          </mc:Fallback>
        </mc:AlternateContent>
      </w:r>
      <w:r>
        <w:rPr>
          <w:rFonts w:ascii="Arial" w:hAnsi="Arial" w:cs="Arial" w:eastAsiaTheme="minorEastAsia"/>
          <w:color w:val="000000" w:themeColor="text1"/>
          <w:sz w:val="16"/>
          <w:szCs w:val="16"/>
          <w:highlight w:val="none"/>
        </w:rPr>
      </w:r>
      <w:r>
        <w:rPr>
          <w:rFonts w:ascii="Arial" w:hAnsi="Arial" w:cs="Arial" w:eastAsiaTheme="minorEastAsia"/>
          <w:color w:val="000000" w:themeColor="text1"/>
          <w:sz w:val="16"/>
          <w:szCs w:val="16"/>
          <w:highlight w:val="none"/>
        </w:rPr>
      </w:r>
    </w:p>
    <w:p>
      <w:pPr>
        <w:ind w:firstLine="510"/>
        <w:jc w:val="center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Рисунок 1 - Схема системы управления сетями газораспределения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center"/>
        <w:spacing w:line="360" w:lineRule="auto"/>
        <w:rPr>
          <w:rFonts w:ascii="Arial" w:hAnsi="Arial" w:cs="Arial" w:eastAsiaTheme="minorEastAsia"/>
          <w:color w:val="000000" w:themeColor="text1"/>
          <w:sz w:val="14"/>
          <w:szCs w:val="16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14"/>
          <w:szCs w:val="16"/>
          <w:highlight w:val="none"/>
        </w:rPr>
      </w:r>
      <w:r>
        <w:rPr>
          <w:rFonts w:ascii="Arial" w:hAnsi="Arial" w:cs="Arial" w:eastAsiaTheme="minorEastAsia"/>
          <w:color w:val="000000" w:themeColor="text1"/>
          <w:sz w:val="14"/>
          <w:szCs w:val="16"/>
          <w:highlight w:val="none"/>
        </w:rPr>
      </w:r>
      <w:r>
        <w:rPr>
          <w:rFonts w:ascii="Arial" w:hAnsi="Arial" w:cs="Arial" w:eastAsiaTheme="minorEastAsia"/>
          <w:color w:val="000000" w:themeColor="text1"/>
          <w:sz w:val="14"/>
          <w:szCs w:val="16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4.2.3 Процессный подход позволяет организации планировать свои процессы деятельности (далее процессы) и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их взаимодействие. Процессный подход включает в себя систематическое определение и менеджмент процессов и их взаимодействия таким образом, чтобы достигать намеченных целей и результатов в соответствии с политикой и стратегическим направлением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4.2.4 Ведущие и дополняющие процессы, характеризующиеся видами деятельности (действиями) и ресурсами, представлены в таблице 1, приложении А и Б.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4.2.5 Риск-ориентированное мышление позволяет организации выявлять факторы, которые могут привести к отклонению от запланированных результатов процессов и системы менеджмента качества организац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ии, а также использовать предупреждающие средства управления для минимизации (вплоть до ликвидации) негативных последствий и максимального использования возникающих возможностей. Перечень возможных рисков и средства управления ими приведены в приложении В.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br w:type="page" w:clear="all"/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sectPr>
          <w:headerReference w:type="default" r:id="rId14"/>
          <w:headerReference w:type="even" r:id="rId15"/>
          <w:footerReference w:type="even" r:id="rId31"/>
          <w:footnotePr>
            <w:numRestart w:val="eachPage"/>
          </w:footnotePr>
          <w:endnotePr/>
          <w:type w:val="continuous"/>
          <w:pgSz w:w="11906" w:h="16838" w:orient="portrait"/>
          <w:pgMar w:top="1418" w:right="1134" w:bottom="1134" w:left="1134" w:header="709" w:footer="709" w:gutter="0"/>
          <w:pgNumType w:start="1"/>
          <w:cols w:num="1" w:sep="0" w:space="708" w:equalWidth="1"/>
          <w:docGrid w:linePitch="360"/>
        </w:sect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tbl>
      <w:tblPr>
        <w:tblStyle w:val="1842"/>
        <w:tblW w:w="150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1"/>
        <w:gridCol w:w="5112"/>
        <w:gridCol w:w="2835"/>
        <w:gridCol w:w="2616"/>
      </w:tblGrid>
      <w:tr>
        <w:tblPrEx/>
        <w:trPr>
          <w:trHeight w:val="698"/>
        </w:trPr>
        <w:tc>
          <w:tcPr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tcW w:w="150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color w:val="000000" w:themeColor="text1"/>
                <w:spacing w:val="40"/>
                <w:sz w:val="24"/>
                <w:szCs w:val="24"/>
                <w:highlight w:val="none"/>
              </w:rPr>
              <w:t xml:space="preserve">Таблица 1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  <w:t xml:space="preserve"> – Ведущие и дополняющие процессы в газораспределительной организации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 w:themeColor="text1"/>
                <w:sz w:val="24"/>
                <w:highlight w:val="none"/>
              </w:rPr>
              <w:t xml:space="preserve">Процесс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 w:themeColor="text1"/>
                <w:sz w:val="24"/>
                <w:highlight w:val="none"/>
              </w:rPr>
              <w:t xml:space="preserve">Основное действие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 w:themeColor="text1"/>
                <w:sz w:val="24"/>
                <w:highlight w:val="none"/>
              </w:rPr>
              <w:t xml:space="preserve">Участник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 w:themeColor="text1"/>
                <w:sz w:val="24"/>
                <w:highlight w:val="none"/>
              </w:rPr>
              <w:t xml:space="preserve">Основной ресурс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8090"/>
        </w:trPr>
        <w:tc>
          <w:tcPr>
            <w:tcBorders>
              <w:top w:val="single" w:color="000000" w:sz="4" w:space="0"/>
            </w:tcBorders>
            <w:tcW w:w="4531" w:type="dxa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2096" behindDoc="0" locked="0" layoutInCell="1" allowOverlap="1">
                      <wp:simplePos x="0" y="0"/>
                      <wp:positionH relativeFrom="column">
                        <wp:posOffset>-65845</wp:posOffset>
                      </wp:positionH>
                      <wp:positionV relativeFrom="paragraph">
                        <wp:posOffset>17509</wp:posOffset>
                      </wp:positionV>
                      <wp:extent cx="9584055" cy="0"/>
                      <wp:effectExtent l="4762" t="4762" r="4762" b="4762"/>
                      <wp:wrapNone/>
                      <wp:docPr id="14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9584055" cy="0"/>
                              </a:xfrm>
                              <a:prstGeom prst="line">
                                <a:avLst/>
                              </a:prstGeom>
                              <a:ln w="634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3" o:spid="_x0000_s13" style="position:absolute;left:0;text-align:left;z-index:251652096;mso-wrap-distance-left:9.07pt;mso-wrap-distance-top:0.00pt;mso-wrap-distance-right:9.07pt;mso-wrap-distance-bottom:0.00pt;flip:y;visibility:visible;" from="-5.2pt,1.4pt" to="749.5pt,1.4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46990</wp:posOffset>
                      </wp:positionV>
                      <wp:extent cx="0" cy="0"/>
                      <wp:effectExtent l="0" t="0" r="0" b="0"/>
                      <wp:wrapNone/>
                      <wp:docPr id="15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4" o:spid="_x0000_s14" style="position:absolute;left:0;text-align:left;z-index:251650048;mso-wrap-distance-left:9.00pt;mso-wrap-distance-top:0.00pt;mso-wrap-distance-right:9.00pt;mso-wrap-distance-bottom:0.00pt;visibility:visible;" from="-3.6pt,3.7pt" to="-3.6pt,3.7pt" filled="f" strokecolor="#487BB4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1 Проектирование сетей газораспределения</w:t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Поставщики процесса: заинтересованная сторона, производственно-техническая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Входы: договор, технические условия, задание на проектирование, схема газоснабжения, отчет по комплексным инженерным изысканиям.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Потребители процесса: заинтересованная сторона, строительная служба, подрядная организация.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Выходы: ПСД.</w:t>
            </w:r>
            <w:r>
              <w:rPr>
                <w:rFonts w:ascii="Arial" w:hAnsi="Arial" w:cs="Arial" w:eastAsiaTheme="minorEastAsia"/>
                <w:color w:val="000000" w:themeColor="text1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5112" w:type="dxa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Разработка, согласование и экспертиза проектной документации.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Производственно-техническая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Проектная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Подрядная организация.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Заинтересованная сторона.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Экспертная организация.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2616" w:type="dxa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Нормативная документация.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Договорная документация.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Электронные базы данных.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tbl>
      <w:tblPr>
        <w:tblStyle w:val="1842"/>
        <w:tblW w:w="150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24"/>
        <w:gridCol w:w="5113"/>
        <w:gridCol w:w="2838"/>
        <w:gridCol w:w="2619"/>
      </w:tblGrid>
      <w:tr>
        <w:tblPrEx/>
        <w:trPr>
          <w:trHeight w:val="404"/>
        </w:trPr>
        <w:tc>
          <w:tcPr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tcW w:w="1509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  <w:t xml:space="preserve">Продолжение таблицы 1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Процесс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Основное действие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Участник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Основной ресурс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8384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523" w:type="dxa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color w:val="000000" w:themeColor="text1"/>
                <w:highlight w:val="none"/>
              </w:rPr>
            </w:pP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2 Строительство, реконструкция</w:t>
            </w:r>
            <w:r>
              <w:rPr>
                <w:color w:val="000000" w:themeColor="text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3120" behindDoc="0" locked="0" layoutInCell="1" allowOverlap="1">
                      <wp:simplePos x="0" y="0"/>
                      <wp:positionH relativeFrom="column">
                        <wp:posOffset>-65845</wp:posOffset>
                      </wp:positionH>
                      <wp:positionV relativeFrom="paragraph">
                        <wp:posOffset>17509</wp:posOffset>
                      </wp:positionV>
                      <wp:extent cx="9584055" cy="0"/>
                      <wp:effectExtent l="0" t="0" r="0" b="0"/>
                      <wp:wrapNone/>
                      <wp:docPr id="16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9584055" cy="0"/>
                              </a:xfrm>
                              <a:prstGeom prst="line">
                                <a:avLst/>
                              </a:prstGeom>
                              <a:ln w="634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5" o:spid="_x0000_s15" style="position:absolute;left:0;text-align:left;z-index:251653120;mso-wrap-distance-left:9.07pt;mso-wrap-distance-top:0.00pt;mso-wrap-distance-right:9.07pt;mso-wrap-distance-bottom:0.00pt;flip:y;visibility:visible;" from="-5.2pt,1.4pt" to="749.5pt,1.4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, техническое перевооружение сетей газораспределения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Поставщики процесса: проектная служба, заинтересованная сторона.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Входы: договор, ПСД, план работ.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Потребители процесса: заинтересованная сторона, эксплуатационная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Выходы: ИД, акт приемки, акт на утилизацию производственных отходов.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2" w:type="dxa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Получение согласований и разрешений.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Проведение конкурентных торгов.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Выполнение строительно-монтажных работ.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Проведение испытаний.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Строительный контроль (технический надзор).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Разработка исполнительной документации на объект строительства, реконструкции, технического перевооружения.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Накопление, сбор, транспортирование, обработка, утилизация, обезвреживание и размещение производственных отходов.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Оценка соответствия сети газораспределения.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Приемка объекта, законченного строительством, реконструкцией техническим перевооружением.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Рекультивация нарушенных земель.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Строительная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Проектная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Производственно-техническая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Служба строительного контроля (технического надзора). 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Подрядная организация.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Заинтересованная сторона.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Клиентская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Эксплуатационная организация (служба).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619" w:type="dxa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Нормативная документация.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Утвержденная ПСД.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Договорная документация.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МТР.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Автотранспорт, спецтехника.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tbl>
      <w:tblPr>
        <w:tblStyle w:val="1842"/>
        <w:tblW w:w="150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13"/>
        <w:gridCol w:w="5175"/>
        <w:gridCol w:w="2794"/>
        <w:gridCol w:w="2512"/>
      </w:tblGrid>
      <w:tr>
        <w:tblPrEx/>
        <w:trPr>
          <w:trHeight w:val="404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0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  <w:t xml:space="preserve">Продолжение таблицы 1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Процесс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Основное действие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Участник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Основной ресурс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975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613" w:type="dxa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color w:val="000000" w:themeColor="text1"/>
                <w:highlight w:val="none"/>
              </w:rPr>
            </w:pP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3 Подключение (технологическое</w:t>
            </w:r>
            <w:r>
              <w:rPr>
                <w:color w:val="000000" w:themeColor="text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4144" behindDoc="0" locked="0" layoutInCell="1" allowOverlap="1">
                      <wp:simplePos x="0" y="0"/>
                      <wp:positionH relativeFrom="column">
                        <wp:posOffset>-65845</wp:posOffset>
                      </wp:positionH>
                      <wp:positionV relativeFrom="paragraph">
                        <wp:posOffset>17509</wp:posOffset>
                      </wp:positionV>
                      <wp:extent cx="9584055" cy="0"/>
                      <wp:effectExtent l="0" t="0" r="0" b="0"/>
                      <wp:wrapNone/>
                      <wp:docPr id="17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9584055" cy="0"/>
                              </a:xfrm>
                              <a:prstGeom prst="line">
                                <a:avLst/>
                              </a:prstGeom>
                              <a:ln w="634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6" o:spid="_x0000_s16" style="position:absolute;left:0;text-align:left;z-index:251654144;mso-wrap-distance-left:9.07pt;mso-wrap-distance-top:0.00pt;mso-wrap-distance-right:9.07pt;mso-wrap-distance-bottom:0.00pt;flip:y;visibility:visible;" from="-5.2pt,1.4pt" to="749.5pt,1.4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 присоединение) к сети газораспределения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Поставщики процесса: проектная служба, клиентская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Входы: заявка о заключении договоры о подключении, договор подключения, ПСД.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Потребители процесса: заинтересованная сторона, эксплуатационная организация (служба).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Выходы: Акт о подключении, сеть газопотребления.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75" w:type="dxa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Получение согласований и разрешений.</w:t>
            </w:r>
            <w:r>
              <w:rPr>
                <w:rFonts w:ascii="Arial" w:hAnsi="Arial" w:cs="Arial" w:eastAsiaTheme="minorEastAsia"/>
                <w:color w:val="000000" w:themeColor="text1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Выполнение строительно-монтажных работ.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Проведение испытаний.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Подготовка ИД и проверка готовности сети газопотребления к приему газа.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Фактическое присоединение сети газопотребления к сети газораспределения.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Пуск газа в газоиспользующее оборудование.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Оформление акта о подключении.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794" w:type="dxa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Строительная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Производственно-техническая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Проектная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Производственно-диспетчерская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Заинтересованная сторона.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Экспертная организация.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Эксплуатационная организация (служба).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Клиентская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12" w:type="dxa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МТР.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Автотранспорт, спецтехника.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Программа газификации.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09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13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4 Ввод в эксплуатацию, эксплуатация сетей газораспределения</w:t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Поставщики процесса: строительная служба, подрядная организация.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Входы: ИД, акт приемки.</w:t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75" w:type="dxa"/>
            <w:vAlign w:val="center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Получение разрешения на ввод в эксплуатацию.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Врезка и пуск газа.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Мониторинг технического состояния сетей газораспределения, включая проверку состояния охранных зон,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Производственно-техническая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Производственно-диспетчерская служба.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Подрядная организация.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12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Сеть газораспределения.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Нормативная документация.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Договорная документация.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04"/>
        </w:trPr>
        <w:tc>
          <w:tcPr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tcW w:w="150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  <w:t xml:space="preserve">Продолжение таблицы 1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Процесс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Основное действие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Участник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Основной ресурс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8373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13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5168" behindDoc="0" locked="0" layoutInCell="1" allowOverlap="1">
                      <wp:simplePos x="0" y="0"/>
                      <wp:positionH relativeFrom="column">
                        <wp:posOffset>-65845</wp:posOffset>
                      </wp:positionH>
                      <wp:positionV relativeFrom="paragraph">
                        <wp:posOffset>17509</wp:posOffset>
                      </wp:positionV>
                      <wp:extent cx="9584055" cy="0"/>
                      <wp:effectExtent l="0" t="0" r="0" b="0"/>
                      <wp:wrapNone/>
                      <wp:docPr id="18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9584055" cy="0"/>
                              </a:xfrm>
                              <a:prstGeom prst="line">
                                <a:avLst/>
                              </a:prstGeom>
                              <a:ln w="634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7" o:spid="_x0000_s17" style="position:absolute;left:0;text-align:left;z-index:251655168;mso-wrap-distance-left:9.07pt;mso-wrap-distance-top:0.00pt;mso-wrap-distance-right:9.07pt;mso-wrap-distance-bottom:0.00pt;flip:y;visibility:visible;" from="-5.2pt,1.4pt" to="749.5pt,1.4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Потребители процесса: эксплуатационная организация (служба).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Выходы: Акт приемки, акт ввода в эксплуатацию, эксплуатационная документация, сеть газораспределения.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center"/>
              <w:spacing w:before="119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center"/>
              <w:spacing w:before="119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center"/>
              <w:spacing w:before="119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center"/>
              <w:spacing w:before="119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center"/>
              <w:spacing w:before="119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center"/>
              <w:spacing w:before="119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center"/>
              <w:spacing w:before="119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center"/>
              <w:spacing w:before="119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center"/>
              <w:spacing w:before="119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75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технический осмотр, техническое обследование, оценка технического состояния, техническое диагностирование.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Все виды технического обслуживания и ремонта сетей газораспределения.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Контроль давления газа в сети газораспределения.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Контроль интенсивности запаха газа.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  <w:t xml:space="preserve">Аварийно-диспетчерское обслуживание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 объектов сетей газораспределения.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before="119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Эксплуатационная организация (служба).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АДС.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12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Методики выполнения измерений.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Перечни средств измерений, подлежащих поверке/калибровке и планы-графики проведения поверок, калибровок, аттестации испытательного оборудования.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Исполнительная и эксплуатационная документация.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Инструкции и локальные нормативные акты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br w:type="page" w:clear="all"/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tbl>
      <w:tblPr>
        <w:tblStyle w:val="1842"/>
        <w:tblW w:w="150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13"/>
        <w:gridCol w:w="5175"/>
        <w:gridCol w:w="2794"/>
        <w:gridCol w:w="2512"/>
      </w:tblGrid>
      <w:tr>
        <w:tblPrEx/>
        <w:trPr>
          <w:trHeight w:val="404"/>
        </w:trPr>
        <w:tc>
          <w:tcPr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tcW w:w="150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  <w:t xml:space="preserve">Продолжение таблицы 1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Процесс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Основное действие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Участник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Основной ресурс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3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6192" behindDoc="0" locked="0" layoutInCell="1" allowOverlap="1">
                      <wp:simplePos x="0" y="0"/>
                      <wp:positionH relativeFrom="column">
                        <wp:posOffset>-65845</wp:posOffset>
                      </wp:positionH>
                      <wp:positionV relativeFrom="paragraph">
                        <wp:posOffset>17509</wp:posOffset>
                      </wp:positionV>
                      <wp:extent cx="9584055" cy="0"/>
                      <wp:effectExtent l="0" t="0" r="0" b="0"/>
                      <wp:wrapNone/>
                      <wp:docPr id="19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9584055" cy="0"/>
                              </a:xfrm>
                              <a:prstGeom prst="line">
                                <a:avLst/>
                              </a:prstGeom>
                              <a:ln w="634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8" o:spid="_x0000_s18" style="position:absolute;left:0;text-align:left;z-index:251656192;mso-wrap-distance-left:9.07pt;mso-wrap-distance-top:0.00pt;mso-wrap-distance-right:9.07pt;mso-wrap-distance-bottom:0.00pt;flip:y;visibility:visible;" from="-5.2pt,1.4pt" to="749.5pt,1.4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113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организации,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устанавливающие порядок организации и выполнения работ и меры безопасности.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13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5 Вывод из эксплуатации, консервация, ликвидация сетей газораспределения</w:t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Поставщики процесса: проектная организация (служба), эксплуатационная организация (служба).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Входы: документация на ликвидацию, на консервацию.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Потребители процесса: эксплуатационная организация (служба), служба обеспечения МТР.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Выходы: Акт на ликвидацию, на консервацию, производственные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75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Выполнение работ по консервации сетей газораспределения.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Выполнение работ по ликвидации сетей газораспределения.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Накопление, сбор, транспортирование, обработка, утилизация, обезвреживание и размещение производственных отходов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Производственно-техническая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Служба материально-технического обеспечения.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Эксплуатационная организация (служба).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Строительная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Производственно-диспетчерская служба.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12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Нормативная документация.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Документация на консервацию и ликвидацию сети (объекта) газораспределения.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br w:type="page" w:clear="all"/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tbl>
      <w:tblPr>
        <w:tblStyle w:val="1842"/>
        <w:tblW w:w="150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13"/>
        <w:gridCol w:w="5175"/>
        <w:gridCol w:w="2794"/>
        <w:gridCol w:w="2512"/>
      </w:tblGrid>
      <w:tr>
        <w:tblPrEx/>
        <w:trPr>
          <w:trHeight w:val="404"/>
        </w:trPr>
        <w:tc>
          <w:tcPr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tcW w:w="150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  <w:t xml:space="preserve">Продолжение таблицы 1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Процесс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Основное действие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Участник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Основной ресурс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119" w:line="360" w:lineRule="auto"/>
              <w:rPr>
                <w:color w:val="000000" w:themeColor="text1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отходы, акт на утилизацию отходов.</w:t>
            </w:r>
            <w:r>
              <w:rPr>
                <w:color w:val="000000" w:themeColor="text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7216" behindDoc="0" locked="0" layoutInCell="1" allowOverlap="1">
                      <wp:simplePos x="0" y="0"/>
                      <wp:positionH relativeFrom="column">
                        <wp:posOffset>-65845</wp:posOffset>
                      </wp:positionH>
                      <wp:positionV relativeFrom="paragraph">
                        <wp:posOffset>17509</wp:posOffset>
                      </wp:positionV>
                      <wp:extent cx="9584055" cy="0"/>
                      <wp:effectExtent l="0" t="0" r="0" b="0"/>
                      <wp:wrapNone/>
                      <wp:docPr id="20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9584055" cy="0"/>
                              </a:xfrm>
                              <a:prstGeom prst="line">
                                <a:avLst/>
                              </a:prstGeom>
                              <a:ln w="634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9" o:spid="_x0000_s19" style="position:absolute;left:0;text-align:left;z-index:251657216;mso-wrap-distance-left:9.07pt;mso-wrap-distance-top:0.00pt;mso-wrap-distance-right:9.07pt;mso-wrap-distance-bottom:0.00pt;flip:y;visibility:visible;" from="-5.2pt,1.4pt" to="749.5pt,1.4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9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3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color w:val="000000" w:themeColor="text1"/>
                <w:highlight w:val="none"/>
              </w:rPr>
            </w:pP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6 Транспортировка газа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Поставщики процесса: потребитель услуг по транспортировке газа, газотранспортная организация.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Входы: Договор на транспортировку газа, договор на покупку газа на собственные, технологические нужды и потери газа в сетях газораспределения, техническое соглашение между газотранспортной организацией, потребителем услуг по транспортировке газа и ГРО.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Потребители процесса: потребители услуг по транспортировке газа, потребители газа. 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Выходы: </w:t>
            </w:r>
            <w:r>
              <w:rPr>
                <w:rFonts w:ascii="Arial" w:hAnsi="Arial" w:eastAsia="Arial" w:cs="Arial"/>
                <w:color w:val="000000" w:themeColor="text1"/>
                <w:sz w:val="24"/>
                <w:highlight w:val="none"/>
              </w:rPr>
              <w:t xml:space="preserve">Акты об объемах транспортировки газа за период и потребленного газа на собственные, технологические нужды и потери.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5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Контроль и управление режимами сетей газораспределения.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Учет и контроль за объемами транспортировки газа, расхода на собственные, технологические нужды и потери газа.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Аварийно-диспетчерское обслуживание.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Оперативное взаимодействие с потребителем услуг по транспортировке газа и газотранспортной организацией в рамках договора на транспортировку газа и технического соглашения.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Покупка газа на собственные и технологические нужды и потери газа в сетях газораспределения.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Производственно-техническая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Эксплуатационная организация (служба).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Производственно-диспетчерская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Потребитель услуг по транспортировке газа.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Газотранспортная организация.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Потребитель газа.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АДС.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Договорная документация.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Графики ограничения газопотребления 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Перечень неотключаемых потребителей.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Средства учета газа.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Нормативная документация по учету объемов и качеству газа. 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Оперативная информация.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АДС и газотранспортных организаций.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br w:type="page" w:clear="all"/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tbl>
      <w:tblPr>
        <w:tblStyle w:val="1842"/>
        <w:tblW w:w="150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13"/>
        <w:gridCol w:w="5175"/>
        <w:gridCol w:w="2794"/>
        <w:gridCol w:w="2512"/>
      </w:tblGrid>
      <w:tr>
        <w:tblPrEx/>
        <w:trPr>
          <w:trHeight w:val="404"/>
        </w:trPr>
        <w:tc>
          <w:tcPr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tcW w:w="150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  <w:t xml:space="preserve">Продолжение таблицы 1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Процесс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Основное действие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Участник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Основной ресурс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3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8240" behindDoc="0" locked="0" layoutInCell="1" allowOverlap="1">
                      <wp:simplePos x="0" y="0"/>
                      <wp:positionH relativeFrom="column">
                        <wp:posOffset>-65845</wp:posOffset>
                      </wp:positionH>
                      <wp:positionV relativeFrom="paragraph">
                        <wp:posOffset>17509</wp:posOffset>
                      </wp:positionV>
                      <wp:extent cx="9584055" cy="0"/>
                      <wp:effectExtent l="0" t="0" r="0" b="0"/>
                      <wp:wrapNone/>
                      <wp:docPr id="21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9584055" cy="0"/>
                              </a:xfrm>
                              <a:prstGeom prst="line">
                                <a:avLst/>
                              </a:prstGeom>
                              <a:ln w="634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0" o:spid="_x0000_s20" style="position:absolute;left:0;text-align:left;z-index:251658240;mso-wrap-distance-left:9.07pt;mso-wrap-distance-top:0.00pt;mso-wrap-distance-right:9.07pt;mso-wrap-distance-bottom:0.00pt;flip:y;visibility:visible;" from="-5.2pt,1.4pt" to="749.5pt,1.4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7 Управление персоналом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Поставщики процесса: организации, осуществляющие образовательную деятельность.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Входы: Структура организации, штатная численность, персонал.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Потребители процесса: службы организации.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Выходы: Трудовые договоры, документы об образовании, квалификации и обучении.</w:t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5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Определение потребности в численности персонала, его обучении.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Укомплектование штатной численности.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Подготовка программ обучения персонала.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Теоретическое обучение и практическая подготовка.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Организация наставничества и стажировки.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Организация и контроль деятельности персонала.</w:t>
            </w:r>
            <w:r>
              <w:rPr>
                <w:rFonts w:ascii="Arial" w:hAnsi="Arial" w:cs="Arial" w:eastAsiaTheme="minorEastAsia"/>
                <w:color w:val="000000" w:themeColor="text1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Оценка эффективности обучения</w:t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Служба по работе с персоналом.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Организация, осуществляющая образовательную деятельность.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Нормативная документация.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Договорная документация.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Программы обучения.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Должностные и производственные инструкции.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Учебные полигоны, классы.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Планы-графики обучения.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Нормы времени на выполнение работ.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Профессиональные стандарты.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tbl>
      <w:tblPr>
        <w:tblStyle w:val="1842"/>
        <w:tblW w:w="15097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4534"/>
        <w:gridCol w:w="5111"/>
        <w:gridCol w:w="2835"/>
        <w:gridCol w:w="2617"/>
      </w:tblGrid>
      <w:tr>
        <w:tblPrEx/>
        <w:trPr>
          <w:trHeight w:val="404"/>
        </w:trPr>
        <w:tc>
          <w:tcPr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tcW w:w="1509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  <w:t xml:space="preserve">Продолжение таблицы 1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Процесс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Основное действие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Участник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Основной ресурс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9264" behindDoc="0" locked="0" layoutInCell="1" allowOverlap="1">
                      <wp:simplePos x="0" y="0"/>
                      <wp:positionH relativeFrom="column">
                        <wp:posOffset>-65845</wp:posOffset>
                      </wp:positionH>
                      <wp:positionV relativeFrom="paragraph">
                        <wp:posOffset>17509</wp:posOffset>
                      </wp:positionV>
                      <wp:extent cx="9584055" cy="0"/>
                      <wp:effectExtent l="0" t="0" r="0" b="0"/>
                      <wp:wrapNone/>
                      <wp:docPr id="22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9584055" cy="0"/>
                              </a:xfrm>
                              <a:prstGeom prst="line">
                                <a:avLst/>
                              </a:prstGeom>
                              <a:ln w="634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1" o:spid="_x0000_s21" style="position:absolute;left:0;text-align:left;z-index:251659264;mso-wrap-distance-left:9.07pt;mso-wrap-distance-top:0.00pt;mso-wrap-distance-right:9.07pt;mso-wrap-distance-bottom:0.00pt;flip:y;visibility:visible;" from="-5.2pt,1.4pt" to="749.5pt,1.4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8 Материально-техническое обеспечение 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Поставщики процесса: поставщики МТР.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Входы: План закупок, бюджет организации.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Потребители процесса: службы организации.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Выходы: Приходные документы на МТР.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1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Организация конкурентных закупок и хранения МТР. Контроль закупок.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Взаимодействие с поставщиками МТР.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Верификация (входной контроль) поступающих от поставщиков МТР для строительства, реконструкции и эксплуатации сетей газораспределения.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Возврат зарекламированных МТР (при необходимости).</w:t>
            </w:r>
            <w:r>
              <w:rPr>
                <w:rFonts w:ascii="Arial" w:hAnsi="Arial" w:cs="Arial" w:eastAsiaTheme="minorEastAsia"/>
                <w:color w:val="000000" w:themeColor="text1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Arial" w:hAnsi="Arial" w:cs="Arial" w:eastAsiaTheme="minorEastAsia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16"/>
                <w:szCs w:val="16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Выполнение комплекса работ по сбору, размещению, хранению, транспортированию и ликвидации образующихся производственных отходов.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Служба обеспечения МТР.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Производственно-техническая службы.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Юридическая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Поставщики МТР.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Комиссии по верификации МТР.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7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Нормативная документация.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Договорная документация.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План-график поставок.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4" w:type="dxa"/>
            <w:vMerge w:val="restart"/>
            <w:textDirection w:val="lrTb"/>
            <w:noWrap w:val="false"/>
          </w:tcPr>
          <w:p>
            <w:pPr>
              <w:ind w:firstLine="227"/>
              <w:spacing w:before="120" w:line="360" w:lineRule="auto"/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9 Взаимодействие с заинтересованными сторонами.</w:t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27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Поставщики процесса</w:t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: 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заинтересованные стороны, третьи лица.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27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Входы: Договоры на оказание услуг, планы проверок.</w:t>
            </w:r>
            <w:r>
              <w:rPr>
                <w:rFonts w:ascii="Arial" w:hAnsi="Arial" w:cs="Arial" w:eastAsiaTheme="minorEastAsia"/>
                <w:color w:val="000000" w:themeColor="text1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11" w:type="dxa"/>
            <w:vMerge w:val="restart"/>
            <w:textDirection w:val="lrTb"/>
            <w:noWrap w:val="false"/>
          </w:tcPr>
          <w:p>
            <w:pPr>
              <w:ind w:firstLine="227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Взаимодействие с потребителями газа, потребителями услуг по транспортировке газа и газотранспортными организациями.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27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Взаимодействие с органами исполнительной власти.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27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Взаимодействие с потребителями услуг организации.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ind w:firstLine="227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Клиентская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27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Производственно-техническая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27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Эксплуатационная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27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Строительная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17" w:type="dxa"/>
            <w:vMerge w:val="restart"/>
            <w:textDirection w:val="lrTb"/>
            <w:noWrap w:val="false"/>
          </w:tcPr>
          <w:p>
            <w:pPr>
              <w:ind w:firstLine="227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Нормативная документация.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27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Договорная документация.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27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Интернет, средства связи.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27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Информационные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04"/>
        </w:trPr>
        <w:tc>
          <w:tcPr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tcW w:w="1509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  <w:t xml:space="preserve">Продолжение таблицы 1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Процесс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Основное действие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Участник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Основной ресурс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60288" behindDoc="0" locked="0" layoutInCell="1" allowOverlap="1">
                      <wp:simplePos x="0" y="0"/>
                      <wp:positionH relativeFrom="column">
                        <wp:posOffset>-65845</wp:posOffset>
                      </wp:positionH>
                      <wp:positionV relativeFrom="paragraph">
                        <wp:posOffset>17509</wp:posOffset>
                      </wp:positionV>
                      <wp:extent cx="9584055" cy="0"/>
                      <wp:effectExtent l="0" t="0" r="0" b="0"/>
                      <wp:wrapNone/>
                      <wp:docPr id="23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9584055" cy="0"/>
                              </a:xfrm>
                              <a:prstGeom prst="line">
                                <a:avLst/>
                              </a:prstGeom>
                              <a:ln w="634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2" o:spid="_x0000_s22" style="position:absolute;left:0;text-align:left;z-index:251660288;mso-wrap-distance-left:9.07pt;mso-wrap-distance-top:0.00pt;mso-wrap-distance-right:9.07pt;mso-wrap-distance-bottom:0.00pt;flip:y;visibility:visible;" from="-5.2pt,1.4pt" to="749.5pt,1.4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Потребители процесса: заинтересованные стороны, третьи лица.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Выходы: Акты выполненных работ, акты проверок, отчетность, согласованные тарифы на услуги, утвержденные программы газификации, информация о перспективных объемах транспортировки газа.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1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Взаимодействие с третьими лицами.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Формирование отчетности.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Юридическая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Заинтересованные стороны.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Органы исполнительной власти.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7" w:type="dxa"/>
            <w:vMerge w:val="restart"/>
            <w:textDirection w:val="lrTb"/>
            <w:noWrap w:val="false"/>
          </w:tcPr>
          <w:p>
            <w:pPr>
              <w:jc w:val="both"/>
              <w:spacing w:before="119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буклеты и бюллетени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4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Производственная безопасность и охрана окружающей среды.</w:t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Поставщики процесса: органы исполнительной власти.</w:t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Входы: законодательство, нормативная документация, нормативы выбросов и сбросов загрязняющих веществ, лимиты на размещение отходов.</w:t>
            </w:r>
            <w:r>
              <w:rPr>
                <w:rFonts w:ascii="Arial" w:hAnsi="Arial" w:cs="Arial" w:eastAsiaTheme="minorEastAsia"/>
                <w:color w:val="000000" w:themeColor="text1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11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Идентификация и анализ опасностей и рисков, связанных с безопасностью персонала.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Сбор и анализ данных по авариям и инцидентам.</w:t>
            </w:r>
            <w:r>
              <w:rPr>
                <w:rFonts w:ascii="Arial" w:hAnsi="Arial" w:cs="Arial" w:eastAsiaTheme="minorEastAsia"/>
                <w:color w:val="000000" w:themeColor="text1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Идентификация экологических аспектов и анализ воздействий на окружающую среду.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Планирование действий по предотвращению или смягчению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Служба охраны труда, промышленной и экологической безопасности.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Эксплуатационная организация (служба).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Строительная служба.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before="119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17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20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Нормативная документация. 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Договорная документация. 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Наряды-допуски и планы организации и производства работ на газоопасные работы и работы с повышенной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04"/>
        </w:trPr>
        <w:tc>
          <w:tcPr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tcW w:w="1509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  <w:t xml:space="preserve">Продолжение таблицы 1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Процесс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Основное действие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Участник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Основной ресурс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4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before="119" w:line="360" w:lineRule="auto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61312" behindDoc="0" locked="0" layoutInCell="1" allowOverlap="1">
                      <wp:simplePos x="0" y="0"/>
                      <wp:positionH relativeFrom="column">
                        <wp:posOffset>-65845</wp:posOffset>
                      </wp:positionH>
                      <wp:positionV relativeFrom="paragraph">
                        <wp:posOffset>17509</wp:posOffset>
                      </wp:positionV>
                      <wp:extent cx="9584055" cy="0"/>
                      <wp:effectExtent l="0" t="0" r="0" b="0"/>
                      <wp:wrapNone/>
                      <wp:docPr id="24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9584055" cy="0"/>
                              </a:xfrm>
                              <a:prstGeom prst="line">
                                <a:avLst/>
                              </a:prstGeom>
                              <a:ln w="634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3" o:spid="_x0000_s23" style="position:absolute;left:0;text-align:left;z-index:251661312;mso-wrap-distance-left:9.07pt;mso-wrap-distance-top:0.00pt;mso-wrap-distance-right:9.07pt;mso-wrap-distance-bottom:0.00pt;flip:y;visibility:visible;" from="-5.2pt,1.4pt" to="749.5pt,1.4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Потребители процесса: органы исполнительной власти, заинтересованные стороны, третьи лица, персонал организации.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Выходы: акты проверок, акты расследования происшествий, планы мероприятий, страховые полисы, отчеты в надзорные органы.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11" w:type="dxa"/>
            <w:vMerge w:val="restart"/>
            <w:textDirection w:val="lrTb"/>
            <w:noWrap w:val="false"/>
          </w:tcPr>
          <w:p>
            <w:pPr>
              <w:jc w:val="both"/>
              <w:spacing w:before="119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негативных экологических воздействий от аварийных и других нештатных ситуаций.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Действия для предотвращения или смягчения экологических последствий аварийных и других нештатных ситуаций.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Производственный контроль за соблюдением установленных нормативов выбросов загрязняющих веществ в атмосферный воздух и лимитов на размещение отходов.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Проверка знаний и аттестация персонала.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Организация и проведение проверок соблюдения производственной безопасности.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Информирование работников организации об изменениях в области производственной безопасности.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Расследование причин аварий,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17" w:type="dxa"/>
            <w:vMerge w:val="restart"/>
            <w:textDirection w:val="lrTb"/>
            <w:noWrap w:val="false"/>
          </w:tcPr>
          <w:p>
            <w:pPr>
              <w:jc w:val="both"/>
              <w:spacing w:before="119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опасностью.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Средства индивидуальной защиты.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Обучение и инструктажи по промышленной безопасности, охране труда и противопожарные инструктажи.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Медосмотры.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Инструменты оценки уровня безопасности.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ПСД, ИД и эксплуатационная документация. 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Производственные инструкции.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04"/>
        </w:trPr>
        <w:tc>
          <w:tcPr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tcW w:w="1509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  <w:t xml:space="preserve">Окончание таблицы 1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Процесс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Основное действие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Участник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  <w:t xml:space="preserve">Основной ресурс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62336" behindDoc="0" locked="0" layoutInCell="1" allowOverlap="1">
                      <wp:simplePos x="0" y="0"/>
                      <wp:positionH relativeFrom="column">
                        <wp:posOffset>-65845</wp:posOffset>
                      </wp:positionH>
                      <wp:positionV relativeFrom="paragraph">
                        <wp:posOffset>17509</wp:posOffset>
                      </wp:positionV>
                      <wp:extent cx="9584055" cy="0"/>
                      <wp:effectExtent l="0" t="0" r="0" b="0"/>
                      <wp:wrapNone/>
                      <wp:docPr id="25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9584055" cy="0"/>
                              </a:xfrm>
                              <a:prstGeom prst="line">
                                <a:avLst/>
                              </a:prstGeom>
                              <a:ln w="634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4" o:spid="_x0000_s24" style="position:absolute;left:0;text-align:left;z-index:251662336;mso-wrap-distance-left:9.07pt;mso-wrap-distance-top:0.00pt;mso-wrap-distance-right:9.07pt;mso-wrap-distance-bottom:0.00pt;flip:y;visibility:visible;" from="-5.2pt,1.4pt" to="749.5pt,1.4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119"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инцидентов и несчастных случаев на производстве. Разработка и контроль выполнения мероприятий по обеспечению производственной безопасности.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Страхование от причинения вреда третьим лицам при эксплуатации ОПО.</w:t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bCs/>
                <w:color w:val="000000" w:themeColor="text1"/>
                <w:sz w:val="24"/>
                <w:szCs w:val="24"/>
                <w:highlight w:val="none"/>
              </w:rPr>
              <w:t xml:space="preserve">Специальная оценка условий труда.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7" w:type="dxa"/>
            <w:vAlign w:val="center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7" w:type="dxa"/>
            <w:vAlign w:val="center"/>
            <w:vMerge w:val="restart"/>
            <w:textDirection w:val="lrTb"/>
            <w:noWrap w:val="false"/>
          </w:tcPr>
          <w:p>
            <w:pPr>
              <w:ind w:right="57" w:firstLine="605"/>
              <w:jc w:val="both"/>
              <w:spacing w:before="120" w:line="360" w:lineRule="auto"/>
              <w:widowControl w:val="off"/>
              <w:rPr>
                <w:rFonts w:ascii="Arial" w:hAnsi="Arial" w:cs="Arial" w:eastAsiaTheme="minorEastAsia"/>
                <w:color w:val="000000" w:themeColor="text1"/>
                <w:spacing w:val="40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color w:val="000000" w:themeColor="text1"/>
                <w:spacing w:val="40"/>
                <w:sz w:val="24"/>
                <w:szCs w:val="24"/>
                <w:highlight w:val="none"/>
              </w:rPr>
              <w:t xml:space="preserve">Примечания</w:t>
            </w:r>
            <w:r>
              <w:rPr>
                <w:rFonts w:ascii="Arial" w:hAnsi="Arial" w:cs="Arial" w:eastAsiaTheme="minorEastAsia"/>
                <w:color w:val="000000" w:themeColor="text1"/>
                <w:spacing w:val="40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pacing w:val="40"/>
                <w:sz w:val="24"/>
                <w:szCs w:val="24"/>
                <w:highlight w:val="none"/>
              </w:rPr>
            </w:r>
          </w:p>
          <w:p>
            <w:pPr>
              <w:ind w:right="57" w:firstLine="605"/>
              <w:jc w:val="both"/>
              <w:spacing w:line="360" w:lineRule="auto"/>
              <w:widowControl w:val="off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  <w:t xml:space="preserve">1 Процессы 1-6 – ведущие. Процессы, предусмотренные видами деятельности организации в ее Уставе, а также документами, регламентирующими и регулирующими эти виды деятельности, позволяющие организации выполнять свои основные функции.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605"/>
              <w:jc w:val="both"/>
              <w:spacing w:line="360" w:lineRule="auto"/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  <w:t xml:space="preserve">2 Процессы 7-10 – дополняющие по отношению к процессам 1-6, так как они обеспечивают ведущие процессы персоналом, МТР, взаимодействие с заинтересованными сторонами и условия по безопасности.</w:t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cs="Arial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sectPr>
          <w:headerReference w:type="default" r:id="rId16"/>
          <w:headerReference w:type="even" r:id="rId17"/>
          <w:footerReference w:type="default" r:id="rId32"/>
          <w:footerReference w:type="even" r:id="rId33"/>
          <w:footnotePr>
            <w:numRestart w:val="eachPage"/>
          </w:footnotePr>
          <w:endnotePr/>
          <w:type w:val="nextPage"/>
          <w:pgSz w:w="16838" w:h="11906" w:orient="landscape"/>
          <w:pgMar w:top="1134" w:right="1134" w:bottom="1134" w:left="1134" w:header="567" w:footer="567" w:gutter="0"/>
          <w:cols w:num="1" w:sep="0" w:space="708" w:equalWidth="1"/>
          <w:docGrid w:linePitch="360"/>
        </w:sect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647"/>
        <w:rPr>
          <w:color w:val="000000" w:themeColor="text1"/>
          <w:highlight w:val="none"/>
        </w:rPr>
      </w:pPr>
      <w:r>
        <w:rPr>
          <w:highlight w:val="none"/>
        </w:rPr>
      </w:r>
      <w:bookmarkStart w:id="12" w:name="_Toc183700737"/>
      <w:r>
        <w:rPr>
          <w:highlight w:val="none"/>
        </w:rPr>
      </w:r>
      <w:bookmarkStart w:id="13" w:name="_Toc189667662"/>
      <w:r>
        <w:rPr>
          <w:color w:val="000000" w:themeColor="text1"/>
          <w:highlight w:val="none"/>
        </w:rPr>
        <w:t xml:space="preserve">5 Основные положения по управлению сетями газораспределения</w:t>
      </w:r>
      <w:bookmarkEnd w:id="12"/>
      <w:r>
        <w:rPr>
          <w:highlight w:val="none"/>
        </w:rPr>
      </w:r>
      <w:bookmarkEnd w:id="13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keepNext/>
        <w:spacing w:line="360" w:lineRule="auto"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highlight w:val="none"/>
        </w:rPr>
      </w:r>
      <w:bookmarkStart w:id="14" w:name="_Toc189667663"/>
      <w:r>
        <w:rPr>
          <w:highlight w:val="none"/>
        </w:rPr>
      </w:r>
      <w:bookmarkStart w:id="15" w:name="_Toc183700738"/>
      <w:r>
        <w:rPr>
          <w:color w:val="000000" w:themeColor="text1"/>
          <w:highlight w:val="none"/>
        </w:rPr>
        <w:t xml:space="preserve">5.1 </w:t>
      </w:r>
      <w:r>
        <w:rPr>
          <w:rStyle w:val="1867"/>
          <w:b/>
          <w:color w:val="000000" w:themeColor="text1"/>
          <w:highlight w:val="none"/>
        </w:rPr>
        <w:t xml:space="preserve">Общие положения</w:t>
      </w:r>
      <w:bookmarkEnd w:id="14"/>
      <w:r>
        <w:rPr>
          <w:highlight w:val="none"/>
        </w:rPr>
      </w:r>
      <w:bookmarkEnd w:id="15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5.1.1 Система управления сетями газораспределения: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формируется в соответствии с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законодательством, техническими регламентами, в том числе техническими регламентами таможенного и евразийского союза, межгосударственными и национальными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(государственными)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стандартами и сводами правил в области газораспределения, стандартами и локальными нормативными актами организации, введенными в действие в установленном порядке;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обеспечивает в соответствии с национальным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(государственным)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законодательством взаимодействие организации с потребителями услуг по транспортировке газа и потребителями газа, газотранспортными организациями, заявителями по подключению (технологическому присоединению), юридическими лицами и предпр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инимателями без образования юридического лица, деятельность которых связана с проектированием, строительством (реконструкцией) и эксплуатацией сетей газораспределения, поставкой МТР, подготовкой и аттестацией персонала, прочими заинтересованными сторонами;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обеспечивать управление сетями газораспределения по видам деятельности, определенным Уставом организации;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учитывает специфику деятельности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highlight w:val="none"/>
        </w:rPr>
      </w:pP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highlight w:val="none"/>
        </w:rPr>
      </w:r>
      <w:bookmarkStart w:id="16" w:name="_Toc183700739"/>
      <w:r>
        <w:rPr>
          <w:highlight w:val="none"/>
        </w:rPr>
      </w:r>
      <w:bookmarkStart w:id="17" w:name="_Toc189667664"/>
      <w:r>
        <w:rPr>
          <w:color w:val="000000" w:themeColor="text1"/>
          <w:highlight w:val="none"/>
        </w:rPr>
        <w:t xml:space="preserve">5.2 </w:t>
      </w:r>
      <w:r>
        <w:rPr>
          <w:rStyle w:val="1867"/>
          <w:b/>
          <w:color w:val="000000" w:themeColor="text1"/>
          <w:highlight w:val="none"/>
        </w:rPr>
        <w:t xml:space="preserve">Цель и задачи системы управления сетями газораспределения</w:t>
      </w:r>
      <w:bookmarkEnd w:id="16"/>
      <w:r>
        <w:rPr>
          <w:highlight w:val="none"/>
        </w:rPr>
      </w:r>
      <w:bookmarkEnd w:id="17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5.2.1 Основной целью разработки и реализации системы управления сетями газораспределения является обеспечение надежности, исправности и безопасности сетей газораспределения на всех стадиях жизненного цикла при минимизации затрат.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5.2.2 Система управления сетями газораспределения должна быть направлена на решение следующих задач: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обеспечение надежной и безопасной транспортировки газа по сетям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определение технической возможности развития сетей газораспределения для подключения потребителей;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минимизация негативного воздействия на окружающую среду;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достижение и поддержание необходимой компетентности персонала;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обеспечение функционирования системы и ее способности достигать намеченных целей;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обеспечение соответствия сетей газораспределения законодательным и нормативным условиям безопасности технологических процессов на всех стадиях жизненного цикла;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обеспечение экономической и энергетической эффективности сетей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обеспечение безопасных условий труда;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обеспечение результативных процессов управления рисками и реализации возможностей.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5.2.3 Для решения указан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ных задач систему управления сетями газораспределения рекомендуется интегрировать с соответствующими элементами систем менеджмента качества, экологического менеджмента, энергетического менеджмента, систем менеджмента охраны здоровья и безопасности труда по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br/>
        <w:t xml:space="preserve">ISO 9001 [2]</w:t>
      </w:r>
      <w:r>
        <w:rPr>
          <w:rStyle w:val="1825"/>
          <w:color w:val="000000" w:themeColor="text1"/>
          <w:highlight w:val="none"/>
        </w:rPr>
        <w:footnoteReference w:id="5"/>
      </w:r>
      <w:r>
        <w:rPr>
          <w:rFonts w:ascii="Arial" w:hAnsi="Arial" w:cs="Arial"/>
          <w:color w:val="000000" w:themeColor="text1"/>
          <w:sz w:val="24"/>
          <w:szCs w:val="24"/>
          <w:highlight w:val="none"/>
          <w:vertAlign w:val="superscript"/>
        </w:rPr>
        <w:t xml:space="preserve">)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, ISO 14001 [3]</w:t>
      </w:r>
      <w:r>
        <w:rPr>
          <w:rStyle w:val="1825"/>
          <w:color w:val="000000" w:themeColor="text1"/>
          <w:highlight w:val="none"/>
        </w:rPr>
        <w:footnoteReference w:id="6"/>
      </w:r>
      <w:r>
        <w:rPr>
          <w:rStyle w:val="1825"/>
          <w:color w:val="000000" w:themeColor="text1"/>
          <w:highlight w:val="none"/>
        </w:rPr>
        <w:t xml:space="preserve">)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ISO 45001 [4]</w:t>
      </w:r>
      <w:r>
        <w:rPr>
          <w:rStyle w:val="1825"/>
          <w:color w:val="000000" w:themeColor="text1"/>
          <w:highlight w:val="none"/>
        </w:rPr>
        <w:footnoteReference w:id="7"/>
      </w:r>
      <w:r>
        <w:rPr>
          <w:rStyle w:val="1825"/>
          <w:color w:val="000000" w:themeColor="text1"/>
          <w:highlight w:val="none"/>
        </w:rPr>
        <w:t xml:space="preserve">)</w:t>
      </w:r>
      <w:r>
        <w:rPr>
          <w:rFonts w:ascii="Arial" w:hAnsi="Arial" w:cs="Arial"/>
          <w:color w:val="000000" w:themeColor="text1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ISO 50001 [5]</w:t>
      </w:r>
      <w:r>
        <w:rPr>
          <w:rStyle w:val="1825"/>
          <w:color w:val="000000" w:themeColor="text1"/>
          <w:highlight w:val="none"/>
        </w:rPr>
        <w:footnoteReference w:id="8"/>
      </w:r>
      <w:r>
        <w:rPr>
          <w:rStyle w:val="1825"/>
          <w:color w:val="000000" w:themeColor="text1"/>
          <w:highlight w:val="none"/>
        </w:rPr>
        <w:t xml:space="preserve">)</w:t>
      </w:r>
      <w:r>
        <w:rPr>
          <w:rStyle w:val="1825"/>
          <w:color w:val="000000" w:themeColor="text1"/>
          <w:highlight w:val="none"/>
          <w:vertAlign w:val="baseline"/>
        </w:rPr>
        <w:t xml:space="preserve">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b/>
          <w:bCs/>
          <w:color w:val="000000" w:themeColor="text1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highlight w:val="none"/>
        </w:rPr>
      </w:r>
      <w:bookmarkStart w:id="18" w:name="_Toc189667665"/>
      <w:r>
        <w:rPr>
          <w:highlight w:val="none"/>
        </w:rPr>
      </w:r>
      <w:bookmarkStart w:id="19" w:name="_Toc183700740"/>
      <w:r>
        <w:rPr>
          <w:color w:val="000000" w:themeColor="text1"/>
          <w:highlight w:val="none"/>
        </w:rPr>
        <w:t xml:space="preserve">5.3 </w:t>
      </w:r>
      <w:r>
        <w:rPr>
          <w:rStyle w:val="1867"/>
          <w:b/>
          <w:color w:val="000000" w:themeColor="text1"/>
          <w:highlight w:val="none"/>
        </w:rPr>
        <w:t xml:space="preserve">Принципы построения системы управления сетями газораспределения</w:t>
      </w:r>
      <w:bookmarkEnd w:id="18"/>
      <w:r>
        <w:rPr>
          <w:highlight w:val="none"/>
        </w:rPr>
      </w:r>
      <w:bookmarkEnd w:id="19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5.3.1 Основным принципом построения системы управления сетями газораспределения является обеспечение на основании ри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ск-ориентированного мышления возможности эффективного воздействия на процессы и ресурсы, от которых зависит надежность и безопасность транспортировки газа, безопасность сетей газораспределение, обеспечение технической возможности для подключения (технологи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ческого присоединения) объектов капитального строительства и газоиспользующего оборудования к сетям газораспределения, соблюдение производственной безопасности, охраны окружающей среды а также экономическая и энергетическая эффективность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b/>
          <w:bCs/>
          <w:color w:val="000000" w:themeColor="text1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highlight w:val="none"/>
        </w:rPr>
      </w:r>
      <w:bookmarkStart w:id="20" w:name="_Toc189667666"/>
      <w:r>
        <w:rPr>
          <w:highlight w:val="none"/>
        </w:rPr>
      </w:r>
      <w:bookmarkStart w:id="21" w:name="_Toc183700741"/>
      <w:r>
        <w:rPr>
          <w:color w:val="000000" w:themeColor="text1"/>
          <w:highlight w:val="none"/>
        </w:rPr>
        <w:t xml:space="preserve">5.4 </w:t>
      </w:r>
      <w:r>
        <w:rPr>
          <w:rStyle w:val="1867"/>
          <w:b/>
          <w:color w:val="000000" w:themeColor="text1"/>
          <w:highlight w:val="none"/>
        </w:rPr>
        <w:t xml:space="preserve">Процесс управления</w:t>
      </w:r>
      <w:bookmarkEnd w:id="20"/>
      <w:r>
        <w:rPr>
          <w:highlight w:val="none"/>
        </w:rPr>
      </w:r>
      <w:bookmarkEnd w:id="21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  <w:t xml:space="preserve">5.4.1 Планирование и контроль результатов деятельности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5.4.1.1 Процесс управления с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етями газораспределения должен быть основан на определении, внедрении и поддержании документально оформленных целей и задач для соответствующих функций и уровней (управления) в рамках организации - программ и/или планов достижения целей и выполнения задач.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Цели и задачи должны учитывать специфику организации и, быть конкретными, ограниченными во времени, достижимыми и измеримыми.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5.4.1.2 Цели и задачи для соответствующих функций и уровней (управления) в рамках организации должны разрабатываться на основе определения и планирования достижения целевых показателей процессов, в том числе: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426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технических характеристик сетей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426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показателей качества, надежности и безопасности сетей газораспределения, а также эффективности транспортировки газа;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исполнения планов и графиков регламентных работ по эксплуатации;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показателей, характеризующих режимы транспортирования газа;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факторов, влияющих на безопасность сетей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характера основных воздействий на окружающую среду;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учета анализа происшествий;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статистических методов анализа и контроля;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потребностей и ожиданий заинтересованных сторон;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рисков и возможностей;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показателей результативности процессов.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5.4.1.3 Планирование показателей процессов на определенные периоды времени должно включать в себя: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установление и документирование целевых значений показателей процессов;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формирование и документирование перечня мероприятий по обеспечению целевых значений показателей процессов;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определение процедур измерения (контроля) технических характеристик сетей и режимов транспортирования газа;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определение характера и факторов, вызывающих изменения значений технических характеристик сетей и режимов транспортирования газа, в том числе с учетом происшедших за рассматриваемый период времени происшествий.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5.4.1.4 Программы и планы достижения целей и выполнения задач должны включать в себя: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распределение ответственности за достижение целей и выполнение задач;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перечень мероприятий для достижения целей и выполнения задач;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перечень необходимых средств (ресурсов) и сроки достижения целей и выполнения задач;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подведение итогов с оценкой достижения целей и выполнения задач в разрезе процессов.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  <w:t xml:space="preserve">5.4.2 Обязанности руководства</w:t>
      </w: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5.4.2.1 Руководство обеспечивает единство целей и направлений деятельности организации и создает условия, в которых работники и структурные подразделения взаимодействуют для достижения целей.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5.4.2.2 Обязанностью руководства при разработке и внедрении системы управления должно быть обеспечение определения целей и задач развития организации, в том числе в отношении развития сетей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5.4.2.3 Руководство должно обеспечивать реализацию системы управления, а также ее постоянное улучшение, посредством: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доведения до сведения персонала важности выполнения законодательных, нормативных и обязательных условий, относящихся к функционированию сетей газораспределения, в том числе системы управления;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проведения анализа системы управления в соответствии с разделом 15;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предоставления необходимых ресурсов, включающих в себя трудовые ресурсы требуемой квалификации, материально-технических, технологические, финансовые, информационные и другие;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изучения и внедрения лучших практик в области систем управления.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5.4.2.4 Руководство должно назначить представителя, который будет нести ответственность и иметь полномочия в отношении: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обеспечения разработки и внедрения системы управления, а также поддержания ее в рабочем состоянии;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предоставления отчетов руководству о функционировании системы управления и необходимости ее улучшения;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обеспечения понимания персоналом организации требований системы управления;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обеспечение соответствия системы управления положениям настоящего ГОСТ, а также законодательным, нормативным и обязательным условиям, относящимся к функционированию сетей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обеспечения получения системой управления намеченных результатов, в том числе результатов процессов;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поддержки ориентации на потребителя во всей организации;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сохранения целостности системы управления при планировании и внедрения изменений в систему управления.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  <w:t xml:space="preserve">5.4.3 Распределение обязанностей и полномочий по управлению сетями газораспределения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5.4.3.1 Распределение обязанностей и полномочий по управлению сетями газораспределения должно осуществляться руководством, документироваться и доводиться до сведения персонала.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5.4.3.2 Распределение обязанностей и полномочий, а также порядок взаимодействи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я служб и персонала отражают в ЛНА (схеме организационной структуры, процессной модели, картах процессов, положениях о подразделениях, положениях об организации работ по различным направлениям, должностных инструкциях, производственных инструкциях и т.п.).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5.4.3.3 К основным обязанностям и полномочиям по управлению сетями газораспределения относятся: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планирование, документирование (при необходимости) и контроль процессов, в том числе корректирующих и предупреждающих действий или изменений;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оценка потенциальных аварийных ситуаций и подготовка плана их локализации и ликвидации;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предоставление необходимых ресурсов персоналу;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определение требуемой компетентности и потребности в обучении персонала в соответствии с разделом 10;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внедрение, реализация, поддержание и постоянное улучшение системы управления, включая необходимые процессы и их взаимодействие в соответствии с положениями настоящего стандарта.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  <w:t xml:space="preserve">5.4.4 Идентификация, анализ и контроль опасностей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5.4.4.1 Реализация процесса управления должна сопровождаться идентификацией, анализом и контролем опасностей, препятствующих достижению целей и решению задач системы управления сетями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5.4.4.2 Идентификация, анализ и контроль опасностей должны гарантировать выявление наиболее значимых опасностей, включая: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происшествия;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налоговые и антимонопольные риски;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нарушение режимов транспортирования газа;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вмешательство третьих лиц;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незапланированное прекращение подачи газа из единой и/или региональной системы газоснабжения;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отсутствие технической возможности подключения (технологического присоединения) к сетям газораспределения;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истечение сроков эксплуатации газопроводов, технических и технологических устройств;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опасности, связанные с изменениями условий деятельности организации (изменением условий государственного регулирования, условиями страхования, договорными условиями и их нарушением и другими);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опасности, связанные с негативным воздействием стихийных природных явлений (паводки, наводнения, ураганы, максимумы отрицательных и положительных температур окружающего воздуха).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5.4.4.3 Процесс идентификации, анализа и контроля опасностей должен: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включать в себя методики и мероприятия для выявления опасностей, определения их значимости и оценки, связанных с ними рисков;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включать в себя необходимые средства по управлению рисками как в повседневной деятельности, так и в нештатных ситуациях;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обеспечивать документирование и регулярное обновление информации с частотой, устанавливаемой для каждого вида опасности.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5.4.4.4 Идентификацию и анализ опасностей в отношении технических рисков, а также контроль и управление техническими рисками проводят в соответствии с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br/>
        <w:t xml:space="preserve">ГОСТ 27.310, а также национальными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(государственными)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стандартами в области менеджмента риска и надежности</w:t>
      </w:r>
      <w:r>
        <w:rPr>
          <w:rStyle w:val="1825"/>
          <w:rFonts w:eastAsiaTheme="minorEastAsia"/>
          <w:color w:val="000000" w:themeColor="text1"/>
          <w:highlight w:val="none"/>
        </w:rPr>
        <w:footnoteReference w:id="9"/>
      </w:r>
      <w:r>
        <w:rPr>
          <w:rStyle w:val="1825"/>
          <w:rFonts w:eastAsiaTheme="minorEastAsia"/>
          <w:color w:val="000000" w:themeColor="text1"/>
          <w:highlight w:val="none"/>
        </w:rPr>
        <w:t xml:space="preserve">)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  <w:t xml:space="preserve">5.4.5 Управление информационными потоками, электронными базами данных, архивами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5.4.5.1 Руководство организации должно обеспечивать управление информационными потоками в организации, электронными базами данных, архивами, (далее информационными ресурсами) в том числе относящимися к системе управления сетями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5.4.5.2 Управление информационными ресурсами должно: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обеспечивать своевременное получение, документирование, хранение и реагирование на соответствующую информацию, получаемую на выходах процессов и от внешних заинтересованных сторон;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гарантировать своевременность, точность, соответствие действительности и доступность необходимой информации об окружающей среде и опасностях;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обеспечивать поддержание внутренней коммуникации между различными структурами и службами организации;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отражать текущую информацию о состоянии процессов в организации;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обеспечивать соблюдение конфиденциальности информации (при необходимости).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5.4.5.3 Процедуры по управлению информационными ресурсами должны быть определены и документированы.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Документы разрабатывают с участием ответственных исполнителей (уполномоченных лиц) и утверждают на уровне руководителей по направлениям деятельности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Степень детализации документов и применяемые механизмы согласования определяются организацией самостоятельно с учетом предполагаемого уровня их применения.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5.4.5.4 Управление информационными ресурсами должно включать в себя контроль документов с целью обеспечения: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соответствия внутренней деятельности организации, действующим законодательным и нормативным документам, утвержденными внутренними методиками, инструкциями, положениями, организационно-распорядительным документами;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результативности процессов;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соответствия уровня ответственности и компетенции персонала выполняемым работам;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возможности обмена информацией как внутри организации, так и за ее пределами;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постоянного совершенствования качества услуг, предоставляемых потребителям.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  <w:t xml:space="preserve">5.4.6 Аудиты процессов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5.4.6.1 Внутренний и/или внешний аудит процессов должен проводиться в соответствии с национальными правовыми нормами и национальными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(государственными)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стандартами</w:t>
      </w:r>
      <w:r>
        <w:rPr>
          <w:rStyle w:val="1825"/>
          <w:rFonts w:eastAsiaTheme="minorEastAsia"/>
          <w:color w:val="000000" w:themeColor="text1"/>
          <w:highlight w:val="none"/>
        </w:rPr>
        <w:footnoteReference w:customMarkFollows="1" w:id="10"/>
        <w:t xml:space="preserve">1)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5.4.6.2 Внутренние аудиты должны выполняться компетентным персоналом с учетом: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национального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(государственного)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законодательства, в том числе технических регламентов;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государственной тарифной и ценовой политики;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целей и задач организации, определенных ее руководством;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положений системы управления;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нормативных документов и стандартов организаций;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документов по результатам внешнего аудита;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условий, предусмотренных договорами и контрактами;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необходимости оценки поставщиков материалов, оборудования, услуг;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прав потребителей услуг;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потребностей заинтересованных сторон.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5.4.6.3 Результаты аудита, сопоставленные с результатами предыдущих аудитов, должны предоставляться руководству организации для определения необходимости и направлений совершенствования системы управления в соответствии с разделом 15.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5.4.6.4 Программа проведения внутренних аудитов, включающая процессы, сроки, методологию, должна определяться руководством с учетом ста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туса и важности процессов и участков, подлежащих аудиту, изменений, оказывающих влияние на организацию, результатов предыдущих аудитов, результатов оценки рисков, влияния возможных несоответствий на удовлетворенность потребителей и заинтересованных сторон.</w:t>
      </w:r>
      <w:bookmarkStart w:id="22" w:name="_Toc189667667"/>
      <w:r>
        <w:rPr>
          <w:highlight w:val="none"/>
        </w:rPr>
      </w:r>
      <w:bookmarkStart w:id="23" w:name="_Toc183700742"/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18"/>
          <w:szCs w:val="18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18"/>
          <w:szCs w:val="18"/>
          <w:highlight w:val="none"/>
        </w:rPr>
      </w:r>
      <w:r>
        <w:rPr>
          <w:rFonts w:ascii="Arial" w:hAnsi="Arial" w:cs="Arial" w:eastAsiaTheme="minorEastAsia"/>
          <w:color w:val="000000" w:themeColor="text1"/>
          <w:sz w:val="18"/>
          <w:szCs w:val="18"/>
          <w:highlight w:val="none"/>
        </w:rPr>
      </w:r>
      <w:r>
        <w:rPr>
          <w:rFonts w:ascii="Arial" w:hAnsi="Arial" w:cs="Arial" w:eastAsiaTheme="minorEastAsia"/>
          <w:color w:val="000000" w:themeColor="text1"/>
          <w:sz w:val="18"/>
          <w:szCs w:val="18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  <w:t xml:space="preserve">5.5 </w:t>
      </w:r>
      <w:bookmarkEnd w:id="22"/>
      <w:r>
        <w:rPr>
          <w:highlight w:val="none"/>
        </w:rPr>
      </w:r>
      <w:bookmarkEnd w:id="23"/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  <w:t xml:space="preserve">Нормативно-правовое обеспечение управления сетями </w:t>
      </w: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Style w:val="1867"/>
          <w:color w:val="000000" w:themeColor="text1"/>
          <w:highlight w:val="none"/>
        </w:rPr>
      </w:pP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  <w:t xml:space="preserve">газораспределения</w:t>
      </w:r>
      <w:r>
        <w:rPr>
          <w:rStyle w:val="1867"/>
          <w:color w:val="000000" w:themeColor="text1"/>
          <w:highlight w:val="none"/>
        </w:rPr>
      </w:r>
      <w:r>
        <w:rPr>
          <w:rStyle w:val="1867"/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5.5.1 Нормативно-правовое обеспечение управления сетями газораспределения включает в себя: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межгосударственные соглашения;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национальные нормативные правовые акты;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ЛНА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5.5.2 Система управления должна обеспечить идентификацию и выполнение положений нормативно-правового обеспечения в отношении всех процессов.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5.5.3 Система управления должна включать в себя мероприятия по регулярному мониторингу и корректирующие действия нормативно-правового обеспечения управления сетями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647"/>
        <w:ind w:firstLine="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1647"/>
        <w:rPr>
          <w:highlight w:val="none"/>
        </w:rPr>
      </w:pPr>
      <w:r>
        <w:rPr>
          <w:highlight w:val="none"/>
        </w:rPr>
      </w:r>
      <w:bookmarkStart w:id="24" w:name="_Toc189667668"/>
      <w:r>
        <w:rPr>
          <w:highlight w:val="none"/>
        </w:rPr>
      </w:r>
      <w:bookmarkStart w:id="25" w:name="_Toc183700743"/>
      <w:r>
        <w:rPr>
          <w:color w:val="000000" w:themeColor="text1"/>
          <w:highlight w:val="none"/>
        </w:rPr>
        <w:t xml:space="preserve">6 </w:t>
      </w:r>
      <w:r>
        <w:rPr>
          <w:rStyle w:val="1865"/>
          <w:b/>
          <w:color w:val="000000" w:themeColor="text1"/>
          <w:highlight w:val="none"/>
        </w:rPr>
        <w:t xml:space="preserve">Проектирование сетей газораспределения</w:t>
      </w:r>
      <w:bookmarkEnd w:id="24"/>
      <w:r>
        <w:rPr>
          <w:highlight w:val="none"/>
        </w:rPr>
      </w:r>
      <w:bookmarkEnd w:id="25"/>
      <w:r>
        <w:rPr>
          <w:highlight w:val="none"/>
        </w:rPr>
      </w:r>
      <w:r>
        <w:rPr>
          <w:highlight w:val="none"/>
        </w:rPr>
      </w:r>
    </w:p>
    <w:p>
      <w:pPr>
        <w:rPr>
          <w:rFonts w:ascii="Arial" w:hAnsi="Arial" w:cs="Arial"/>
          <w:color w:val="000000" w:themeColor="text1"/>
          <w:sz w:val="18"/>
          <w:szCs w:val="18"/>
          <w:highlight w:val="none"/>
        </w:rPr>
      </w:pPr>
      <w:r>
        <w:rPr>
          <w:rFonts w:ascii="Arial" w:hAnsi="Arial" w:cs="Arial"/>
          <w:color w:val="000000" w:themeColor="text1"/>
          <w:sz w:val="18"/>
          <w:szCs w:val="18"/>
          <w:highlight w:val="none"/>
        </w:rPr>
      </w:r>
      <w:r>
        <w:rPr>
          <w:rFonts w:ascii="Arial" w:hAnsi="Arial" w:cs="Arial"/>
          <w:color w:val="000000" w:themeColor="text1"/>
          <w:sz w:val="18"/>
          <w:szCs w:val="18"/>
          <w:highlight w:val="none"/>
        </w:rPr>
      </w:r>
      <w:r>
        <w:rPr>
          <w:rFonts w:ascii="Arial" w:hAnsi="Arial" w:cs="Arial"/>
          <w:color w:val="000000" w:themeColor="text1"/>
          <w:sz w:val="18"/>
          <w:szCs w:val="18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highlight w:val="none"/>
        </w:rPr>
      </w:r>
      <w:bookmarkStart w:id="26" w:name="_Toc183700744"/>
      <w:r>
        <w:rPr>
          <w:highlight w:val="none"/>
        </w:rPr>
      </w:r>
      <w:bookmarkStart w:id="27" w:name="_Toc189667669"/>
      <w:r>
        <w:rPr>
          <w:color w:val="000000" w:themeColor="text1"/>
          <w:highlight w:val="none"/>
        </w:rPr>
        <w:t xml:space="preserve">6.1 </w:t>
      </w:r>
      <w:r>
        <w:rPr>
          <w:rStyle w:val="1867"/>
          <w:b/>
          <w:color w:val="000000" w:themeColor="text1"/>
          <w:highlight w:val="none"/>
        </w:rPr>
        <w:t xml:space="preserve">Принципы управления проектированием</w:t>
      </w:r>
      <w:bookmarkEnd w:id="26"/>
      <w:r>
        <w:rPr>
          <w:highlight w:val="none"/>
        </w:rPr>
      </w:r>
      <w:bookmarkEnd w:id="27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6.1.1 Система управления должна содействовать выполнению следующих принципов проектирования: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планирование процесса проектирования сетей газораспределения;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обеспечение соблюдения технических условий подключения (технологического присоединения) объектов капитального строительства к существующей сети газораспределения и другим инженерным сетям при необходимости;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формирование заданий на проектирование с учетом установленных критериев надежности и безопасности сетей газораспределения, обеспечения их экономической и энергетической эффективности;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обеспечение согласования проектной документации с заинтересованными сторонами;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обеспечение проведения в установленном порядке экспертизы проектной документации и результатов инженерных изысканий, выполненных для подготовки такой документации;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соответствие утвержденным схемам газоснабжения;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проведение авторского надзора.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6.1.2 Управление проектированием должно обеспечить выполнение инженерных изысканий для подготовки проектной документации, строительства, реконструкции объектов капитального строительства в соответствии с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законодательством.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6.1.3 Управление проектированием в част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и видов работ, которые оказывают влияние на безопасность объектов капитального строительства, должно обеспечивать их выполнение только индивидуальными предпринимателями или юридическими лицами, допущенными к таким видам работ в соответствии с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законодательством.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6.1.4 Планирование проектирования должно учитывать наличие свободных ресурсов сетей газораспределения, необходимость и техническую возможность создания новых ресурсов для подключения потенциальных потребителей.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6.1.5 Система управления должна содействовать выполнению следующих принципов проектирования со стороны проектной организации: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соответствие положениям законодательства, в том числе технических регламентов евразийского экономического сообщества, техничес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ких регламентов таможенного союза и национальных технических регламентов, а также обязательным положениям нормативных документов, единой системы конструкторской документации и единой системы проектной документации для строительства, стандартов организации;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соответствие проектов заданию на проектирование заказчика или застройщика, а также техническим условиям подключения (технологического присоединения);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обеспечение производственной и экологической безопасности;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обеспечение экономической и энергетической эффективности принятых решений.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6.1.6 Технические и организационные проектные решения должны соответствовать основным принципам технического развития газораспределительных систем: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а) разработки во взаимосвязи всех частей проекта: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737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1) технологической;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737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2) архитектурно-строительной;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737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3) санитарно-технической;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737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4) сметной;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737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5) других имеющихся частей, с учетом технических, экологических, экономических и прочих требований;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б) решение задач от общего к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 частному: от общих вопросов обоснования целесообразности строительства (реконструкции) сетей газораспределения к определению основных технологических, объемно-планировочных, конструктивных, архитектурных и других решений с дальнейшей детализацией проекта;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в) использование унифицированных технических решений, внедрение разрешенных к применению в установленном порядке новых технологий, материалов и оборудования;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г) соответствие проектов развития газораспределительных систем региональным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и территориальным схемам газоснабжения, а также техническому уровню объектов единой системы газоснабжения (если предполагаемое строительство и/или реконструкция находятся в зоне действия Единой системы газоснабжения или региональной системы газоснабжения).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6.1.7 Порядок проектирования по этапам и стадиям, а также состав проектных материалов, разрабатываемых на отдельных этапах и стадиях проектирования, определяют положениями национального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(государственного)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законодательства.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До начала проектирования заказчик или застройщик должен предоставить проектировщику необходимые исходные данные, а также утвержденное задание на проектирование, где предусмотрен весь перечень работ, который должен выполнить проектировщик.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6.1.8 Управление процессом проектирования осуществляет проектная служба. Основные взаимодействия – с производственно-технической и строительной службами в соответствии с ЛНА организации.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</w:p>
    <w:p>
      <w:pPr>
        <w:pStyle w:val="1648"/>
        <w:rPr>
          <w:rFonts w:eastAsia="Calibri"/>
          <w:b w:val="0"/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6.2 </w:t>
      </w:r>
      <w:r>
        <w:rPr>
          <w:rStyle w:val="1867"/>
          <w:b/>
          <w:color w:val="000000" w:themeColor="text1"/>
          <w:highlight w:val="none"/>
        </w:rPr>
        <w:t xml:space="preserve">Согласование, контроль и экспертиза</w:t>
      </w:r>
      <w:r>
        <w:rPr>
          <w:color w:val="000000" w:themeColor="text1"/>
          <w:highlight w:val="none"/>
        </w:rPr>
        <w:t xml:space="preserve"> </w:t>
      </w:r>
      <w:r>
        <w:rPr>
          <w:rFonts w:eastAsia="Calibri"/>
          <w:b w:val="0"/>
          <w:color w:val="000000" w:themeColor="text1"/>
          <w:highlight w:val="none"/>
        </w:rPr>
      </w:r>
      <w:r>
        <w:rPr>
          <w:rFonts w:eastAsia="Calibri"/>
          <w:b w:val="0"/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6.2.1 Перечень организаций, проводящих согласование ПСД, определяется национальными нормативными актами и действующим законодательством.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6.2.2 Проектная документация объектов капитального строительства и результаты инженерных изысканий, выполненных для подготовки такой проектной документации, подлежат экспертизе в случаях и порядке, установленном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законодательством.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6.2.3 Проектная документация должна соответствовать законодательству о производственной</w:t>
      </w:r>
      <w:r>
        <w:rPr>
          <w:rStyle w:val="1825"/>
          <w:color w:val="000000" w:themeColor="text1"/>
          <w:highlight w:val="none"/>
        </w:rPr>
        <w:footnoteReference w:id="11"/>
      </w:r>
      <w:r>
        <w:rPr>
          <w:rFonts w:ascii="Arial" w:hAnsi="Arial" w:cs="Arial"/>
          <w:color w:val="000000" w:themeColor="text1"/>
          <w:sz w:val="24"/>
          <w:szCs w:val="24"/>
          <w:highlight w:val="none"/>
          <w:vertAlign w:val="superscript"/>
        </w:rPr>
        <w:t xml:space="preserve">)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, экологической безопасности</w:t>
      </w:r>
      <w:r>
        <w:rPr>
          <w:rStyle w:val="1825"/>
          <w:color w:val="000000" w:themeColor="text1"/>
          <w:highlight w:val="none"/>
        </w:rPr>
        <w:footnoteReference w:id="12"/>
      </w:r>
      <w:r>
        <w:rPr>
          <w:rFonts w:ascii="Arial" w:hAnsi="Arial" w:cs="Arial"/>
          <w:color w:val="000000" w:themeColor="text1"/>
          <w:sz w:val="24"/>
          <w:szCs w:val="24"/>
          <w:highlight w:val="none"/>
          <w:vertAlign w:val="superscript"/>
        </w:rPr>
        <w:t xml:space="preserve">)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 и заданию на проектирование. Ответственность за организацию разработки и контроль качества проекта несет руководитель проектной службы.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/>
          <w:color w:val="000000" w:themeColor="text1"/>
          <w:sz w:val="16"/>
          <w:szCs w:val="16"/>
          <w:highlight w:val="none"/>
        </w:rPr>
      </w:pPr>
      <w:r>
        <w:rPr>
          <w:rFonts w:ascii="Arial" w:hAnsi="Arial" w:cs="Arial"/>
          <w:color w:val="000000" w:themeColor="text1"/>
          <w:sz w:val="16"/>
          <w:szCs w:val="16"/>
          <w:highlight w:val="none"/>
        </w:rPr>
      </w:r>
      <w:r>
        <w:rPr>
          <w:rFonts w:ascii="Arial" w:hAnsi="Arial" w:cs="Arial"/>
          <w:color w:val="000000" w:themeColor="text1"/>
          <w:sz w:val="16"/>
          <w:szCs w:val="16"/>
          <w:highlight w:val="none"/>
        </w:rPr>
      </w:r>
      <w:r>
        <w:rPr>
          <w:rFonts w:ascii="Arial" w:hAnsi="Arial" w:cs="Arial"/>
          <w:color w:val="000000" w:themeColor="text1"/>
          <w:sz w:val="16"/>
          <w:szCs w:val="16"/>
          <w:highlight w:val="none"/>
        </w:rPr>
      </w:r>
    </w:p>
    <w:p>
      <w:pPr>
        <w:pStyle w:val="1647"/>
        <w:ind w:firstLine="0"/>
        <w:rPr>
          <w:rStyle w:val="1865"/>
          <w:b/>
          <w:bCs/>
          <w:color w:val="000000" w:themeColor="text1"/>
          <w:highlight w:val="none"/>
        </w:rPr>
      </w:pPr>
      <w:r>
        <w:rPr>
          <w:b/>
          <w:bCs/>
          <w:color w:val="000000" w:themeColor="text1"/>
          <w:highlight w:val="none"/>
        </w:rPr>
      </w:r>
      <w:r>
        <w:rPr>
          <w:rStyle w:val="1865"/>
          <w:b/>
          <w:bCs/>
          <w:color w:val="000000" w:themeColor="text1"/>
          <w:highlight w:val="none"/>
        </w:rPr>
      </w:r>
      <w:r>
        <w:rPr>
          <w:rStyle w:val="1865"/>
          <w:b/>
          <w:bCs/>
          <w:color w:val="000000" w:themeColor="text1"/>
          <w:highlight w:val="none"/>
        </w:rPr>
      </w:r>
    </w:p>
    <w:p>
      <w:pPr>
        <w:pStyle w:val="1647"/>
        <w:ind w:firstLine="0"/>
        <w:rPr>
          <w:rStyle w:val="1865"/>
          <w:b/>
          <w:bCs/>
          <w:color w:val="000000" w:themeColor="text1"/>
          <w:highlight w:val="none"/>
        </w:rPr>
      </w:pPr>
      <w:r>
        <w:rPr>
          <w:b/>
          <w:bCs/>
          <w:color w:val="000000" w:themeColor="text1"/>
          <w:highlight w:val="none"/>
        </w:rPr>
      </w:r>
      <w:r>
        <w:rPr>
          <w:rStyle w:val="1865"/>
          <w:b/>
          <w:bCs/>
          <w:color w:val="000000" w:themeColor="text1"/>
          <w:highlight w:val="none"/>
        </w:rPr>
      </w:r>
      <w:r>
        <w:rPr>
          <w:rStyle w:val="1865"/>
          <w:b/>
          <w:bCs/>
          <w:color w:val="000000" w:themeColor="text1"/>
          <w:highlight w:val="none"/>
        </w:rPr>
      </w:r>
    </w:p>
    <w:p>
      <w:pPr>
        <w:pStyle w:val="1647"/>
        <w:ind w:firstLine="0"/>
        <w:rPr>
          <w:rStyle w:val="1865"/>
          <w:b/>
          <w:bCs/>
          <w:color w:val="000000" w:themeColor="text1"/>
          <w:highlight w:val="none"/>
        </w:rPr>
      </w:pPr>
      <w:r>
        <w:rPr>
          <w:b/>
          <w:bCs/>
          <w:color w:val="000000" w:themeColor="text1"/>
          <w:highlight w:val="none"/>
        </w:rPr>
      </w:r>
      <w:r>
        <w:rPr>
          <w:rStyle w:val="1865"/>
          <w:b/>
          <w:bCs/>
          <w:color w:val="000000" w:themeColor="text1"/>
          <w:highlight w:val="none"/>
        </w:rPr>
      </w:r>
      <w:r>
        <w:rPr>
          <w:rStyle w:val="1865"/>
          <w:b/>
          <w:bCs/>
          <w:color w:val="000000" w:themeColor="text1"/>
          <w:highlight w:val="none"/>
        </w:rPr>
      </w:r>
    </w:p>
    <w:p>
      <w:pPr>
        <w:pStyle w:val="1647"/>
        <w:ind w:firstLine="0"/>
        <w:rPr>
          <w:rStyle w:val="1865"/>
          <w:b/>
          <w:bCs/>
          <w:color w:val="000000" w:themeColor="text1"/>
          <w:highlight w:val="none"/>
        </w:rPr>
      </w:pPr>
      <w:r>
        <w:rPr>
          <w:rStyle w:val="1865"/>
          <w:b/>
          <w:bCs/>
          <w:color w:val="000000" w:themeColor="text1"/>
          <w:highlight w:val="none"/>
        </w:rPr>
        <w:br w:type="page" w:clear="all"/>
      </w:r>
      <w:r>
        <w:rPr>
          <w:rStyle w:val="1865"/>
          <w:b/>
          <w:bCs/>
          <w:color w:val="000000" w:themeColor="text1"/>
          <w:highlight w:val="none"/>
        </w:rPr>
      </w:r>
      <w:r>
        <w:rPr>
          <w:rStyle w:val="1865"/>
          <w:b/>
          <w:bCs/>
          <w:color w:val="000000" w:themeColor="text1"/>
          <w:highlight w:val="none"/>
        </w:rPr>
      </w:r>
    </w:p>
    <w:p>
      <w:pPr>
        <w:pStyle w:val="1647"/>
        <w:rPr>
          <w:rStyle w:val="1865"/>
          <w:b/>
          <w:bCs/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7 </w:t>
      </w:r>
      <w:r>
        <w:rPr>
          <w:rStyle w:val="1865"/>
          <w:b/>
          <w:color w:val="000000" w:themeColor="text1"/>
          <w:highlight w:val="none"/>
        </w:rPr>
        <w:t xml:space="preserve">Строительство, реконструкция, техническое перевооружение сетей газораспределения, подключение (технологическое присоединение) к ним</w:t>
      </w:r>
      <w:r>
        <w:rPr>
          <w:rStyle w:val="1865"/>
          <w:b/>
          <w:bCs/>
          <w:color w:val="000000" w:themeColor="text1"/>
          <w:highlight w:val="none"/>
        </w:rPr>
      </w:r>
      <w:r>
        <w:rPr>
          <w:rStyle w:val="1865"/>
          <w:b/>
          <w:bCs/>
          <w:color w:val="000000" w:themeColor="text1"/>
          <w:highlight w:val="none"/>
        </w:rPr>
      </w:r>
    </w:p>
    <w:p>
      <w:pPr>
        <w:pStyle w:val="1648"/>
        <w:rPr>
          <w:rFonts w:eastAsia="Calibri"/>
          <w:bCs/>
          <w:color w:val="000000" w:themeColor="text1"/>
          <w:sz w:val="20"/>
          <w:szCs w:val="20"/>
          <w:highlight w:val="none"/>
        </w:rPr>
      </w:pPr>
      <w:r>
        <w:rPr>
          <w:highlight w:val="none"/>
        </w:rPr>
      </w:r>
      <w:bookmarkStart w:id="28" w:name="_Toc183700747"/>
      <w:r>
        <w:rPr>
          <w:highlight w:val="none"/>
        </w:rPr>
      </w:r>
      <w:bookmarkStart w:id="29" w:name="_Toc189667672"/>
      <w:r>
        <w:rPr>
          <w:rFonts w:eastAsia="Calibri"/>
          <w:bCs/>
          <w:color w:val="000000" w:themeColor="text1"/>
          <w:sz w:val="20"/>
          <w:szCs w:val="20"/>
          <w:highlight w:val="none"/>
        </w:rPr>
      </w:r>
      <w:r>
        <w:rPr>
          <w:rFonts w:eastAsia="Calibri"/>
          <w:bCs/>
          <w:color w:val="000000" w:themeColor="text1"/>
          <w:sz w:val="20"/>
          <w:szCs w:val="20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7.1 </w:t>
      </w:r>
      <w:r>
        <w:rPr>
          <w:rStyle w:val="1867"/>
          <w:b/>
          <w:color w:val="000000" w:themeColor="text1"/>
          <w:highlight w:val="none"/>
        </w:rPr>
        <w:t xml:space="preserve">Принципы управления строительством, реконструкцией, техническим перевооружением, подключением (технологическим присоединением)</w:t>
      </w:r>
      <w:bookmarkEnd w:id="28"/>
      <w:r>
        <w:rPr>
          <w:highlight w:val="none"/>
        </w:rPr>
      </w:r>
      <w:bookmarkEnd w:id="29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7.1.1 Система управления на этапе нового строительства, реконструкции, технического перевооружения, подключения (технологического присоединения) сетей газораспределения должна обеспечивать выполнение следующих необходимых работ: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получение необходимых разрешений и согласований заинтересованных сторон;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внесение при необходимости изменений в ПСД;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подготовительных, земляных и погрузочно-разгрузочных;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по транспортированию и складированию труб и изделий;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сварочно-монтажных;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по защите от коррозии;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по укладке трубопроводов и их закреплению, очистке полости и испытаниям трубопроводов и технологических устройств;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по засыпке подземных газопроводов до проектных отметок;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по накоплению, сбору, транспортированию, обработке, утилизации, обезвреживанию и размещению образовавшихся отходов;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по рекультивации земель;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других необходимых работ по строительству, реконструкции, техническому перевооружению, подключению (технологическому присоединению).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7.1.2 Система управления должна обеспечить выполнение следующих принципов строительства, реконструкции, технического перевооружения, подключения (технологического присоединения) сетей газораспределения: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планирование работ;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выполнение работ в соответствии с утвержденной проектной документацией;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выполнение работ в соответствии со сроками, предусмотренными договорами с заказчиками;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соответствие всех работ действующим нормам и стандартам, а также документации изготовителей технических и технологических устройств;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обеспечение выполнение законодательства в части производственной безопасности и охраны окружающей среды;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гарантирование безопасности персонала, вовлеченного в работы, а также третьих лиц и заинтересованных сторон, на протяжении всего периода выполнения работ;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осуществление строительного контроля (технического надзора) на всех этапах выполнения работ;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обеспечение сохранности имущества физических и юридических лиц, государственного и муниципального имущества;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принятие своевременных действий по устранению несоответствий, выявленных при осуществлении строительного контроля (технического надзора).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7.1.3 Планы работ по строительству, реконструкции, техническому перевооружению, подключению (технологическому присоединению) должны включать в себя: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перечень работ, этапы и сроки их выполнения;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распределение обязанностей и ответственных лиц;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мероприятия по обеспечению производственной безопасности и охране окружающей среды;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проведение входного контроля материалов и технических устройств, по операционному и приемочному контролю сварочных, изоляционных и монтажных работ, устранению нарушений и дефектов;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юридические положения.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highlight w:val="none"/>
        </w:rPr>
      </w:r>
      <w:bookmarkStart w:id="30" w:name="_Toc183700748"/>
      <w:r>
        <w:rPr>
          <w:highlight w:val="none"/>
        </w:rPr>
      </w:r>
      <w:bookmarkStart w:id="31" w:name="_Toc189667673"/>
      <w:r>
        <w:rPr>
          <w:color w:val="000000" w:themeColor="text1"/>
          <w:highlight w:val="none"/>
        </w:rPr>
        <w:t xml:space="preserve">7.2 </w:t>
      </w:r>
      <w:r>
        <w:rPr>
          <w:rStyle w:val="1867"/>
          <w:b/>
          <w:color w:val="000000" w:themeColor="text1"/>
          <w:highlight w:val="none"/>
        </w:rPr>
        <w:t xml:space="preserve">Управление работами</w:t>
      </w:r>
      <w:bookmarkEnd w:id="30"/>
      <w:r>
        <w:rPr>
          <w:highlight w:val="none"/>
        </w:rPr>
      </w:r>
      <w:bookmarkEnd w:id="31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7.2.1 Управление работами по строительству, реконструкции, техническому перевооружению, подключению (технологич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ескому присоединению) которые оказывают влияние на безопасность объектов капитального строительства, должно обеспечивать их выполнение индивидуальными предпринимателями или юридическими лицами, допущенными к таким видам работ в соответствии с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законодательством.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7.2.2 Строительные работы могут вестись ГРО, индивидуальными предпринимателями или подрядн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ыми специализированными организациями, при этом заказчик-застройщик должен гарантировать выбор строительной организации, обладающей специалистами необходимой квалификации и имеющей разрешения на производство работ в соответствии с действующим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законодательством.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7.2.3 Ответственность за качество и сроки выполненных работ и их соответствие проектной документации несет организация, выполнявшая работы.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7.2.4 Система управления должна гарантировать, что отклонение параметров объекта капитального строительства от проектной документации может быть допущено только в случаях и порядке, предусмотренных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законодательством.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7.3 Контроль (</w:t>
      </w:r>
      <w:r>
        <w:rPr>
          <w:rStyle w:val="1867"/>
          <w:b/>
          <w:color w:val="000000" w:themeColor="text1"/>
          <w:highlight w:val="none"/>
        </w:rPr>
        <w:t xml:space="preserve">надзор) за производством работ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7.3.1 Авторский надзор, соблюдение проектной документации, а также строительный контроль (технический надзор) за производством работ, соблюдение прав заказчика, осуществляются в соответствии с действующим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законодательством.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7.3.2 Строительный контроль (технический надзор) за производством работ как часть процесса управления сетями газораспределения включает в себя проверку: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наличия согласования заинтересованных сторон и документов, разрешающих производство земляных и строительно – монтажных работ;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выполнения сроков и организации работ, а также применяемых материалов, оборудования и используемых технологий;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качества выполненных работ в соответствии с нормативными документами и проектной документацией;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выполнения производственной безопасности и охраны окружающей среды;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своевременного документирования процессов производства работ;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- своевременного исправления выявленных нарушений и дефектов.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7.3.3 Управление процессами строительства, реконструкции, технического перевооружения, подключения (технологическог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о присоединения) осуществляет строительная служба (отдел). Основные взаимодействия с производственно-технической, проектной, эксплуатационной, клиентской службами и службой материально-технического обеспечения производятся в соответствии с ЛНА организации.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647"/>
        <w:rPr>
          <w:color w:val="000000" w:themeColor="text1"/>
          <w:highlight w:val="none"/>
        </w:rPr>
      </w:pPr>
      <w:r>
        <w:rPr>
          <w:highlight w:val="none"/>
        </w:rPr>
      </w:r>
      <w:bookmarkStart w:id="32" w:name="_Toc183700750"/>
      <w:r>
        <w:rPr>
          <w:highlight w:val="none"/>
        </w:rPr>
      </w:r>
      <w:bookmarkStart w:id="33" w:name="_Toc189667675"/>
      <w:r>
        <w:rPr>
          <w:color w:val="000000" w:themeColor="text1"/>
          <w:highlight w:val="none"/>
        </w:rPr>
        <w:t xml:space="preserve">8 Ввод в эксплуатацию, </w:t>
      </w:r>
      <w:r>
        <w:rPr>
          <w:rStyle w:val="1865"/>
          <w:b/>
          <w:color w:val="000000" w:themeColor="text1"/>
          <w:highlight w:val="none"/>
        </w:rPr>
        <w:t xml:space="preserve">эксплуатация сетей газораспределения</w:t>
      </w:r>
      <w:bookmarkEnd w:id="32"/>
      <w:r>
        <w:rPr>
          <w:highlight w:val="none"/>
        </w:rPr>
      </w:r>
      <w:bookmarkEnd w:id="33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b/>
          <w:bCs/>
          <w:color w:val="000000" w:themeColor="text1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highlight w:val="none"/>
        </w:rPr>
      </w:r>
      <w:bookmarkStart w:id="34" w:name="_Toc183700751"/>
      <w:r>
        <w:rPr>
          <w:highlight w:val="none"/>
        </w:rPr>
      </w:r>
      <w:bookmarkStart w:id="35" w:name="_Toc189667676"/>
      <w:r>
        <w:rPr>
          <w:color w:val="000000" w:themeColor="text1"/>
          <w:highlight w:val="none"/>
        </w:rPr>
        <w:t xml:space="preserve">8.1 </w:t>
      </w:r>
      <w:r>
        <w:rPr>
          <w:rStyle w:val="1867"/>
          <w:b/>
          <w:color w:val="000000" w:themeColor="text1"/>
          <w:highlight w:val="none"/>
        </w:rPr>
        <w:t xml:space="preserve">Принципы управления эксплуатацией</w:t>
      </w:r>
      <w:bookmarkEnd w:id="34"/>
      <w:r>
        <w:rPr>
          <w:highlight w:val="none"/>
        </w:rPr>
      </w:r>
      <w:bookmarkEnd w:id="35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8.1.1 Ввод в эксплуатацию сетей газораспределения после окончания строительства или реконструкции производится в соответствии с ГОСТ 34715.0 и ГОСТ 34741 и/или действующим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законодательством.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8.1.2 Система управления должна гарантировать, что эксплуатация сетей газораспределения осуществляется на основе следующих принципов: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планирования работ по эксплуатации;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выполнения национального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(государственного)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законодательства в части производственной безопасности и охраны окружающей среды, а также нормативной документации по эксплуатации сетей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выполнение в полном объеме регламентных работ по эксплуатации персоналом требуемой компетентности;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обеспечения работоспособности сетей газораспределения, надежной и безопасной транспортировки газа в соответствии с договорными обязательствами, в том числе минимизации количества и последствий отказов и потерь газа;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своевременного выполнения плана работ по подготовке сетей газораспределения к работе в осенне-зимнем периоде;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организационно-технического единства, то есть взаимосвязи процесса эксплуатации с другими процессами, обеспечивающими функционирование сетей газораспределения, в соответствии с положениями системы управления сетями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обеспечения энергоэффективности;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создания условий для повышения экономической эффективности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8.1.3 Эксплуатация сетей газораспределения должна осуществляться с учетом идентификации и анализа опасностей, выявления предотказных состояний, прогнозирования моментов наступления отказов и принятия необходимых мер по их предотвращению.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8.1.4 Особое внимание в организации должно уделяться подготовке, проведению и оформлению газоопасных работ, работ повышенной опасности при эксплуатации сетей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highlight w:val="none"/>
        </w:rPr>
      </w:pP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</w:p>
    <w:p>
      <w:pPr>
        <w:pStyle w:val="1648"/>
        <w:rPr>
          <w:rStyle w:val="1867"/>
          <w:b/>
          <w:color w:val="000000" w:themeColor="text1"/>
          <w:highlight w:val="none"/>
        </w:rPr>
      </w:pPr>
      <w:r>
        <w:rPr>
          <w:highlight w:val="none"/>
        </w:rPr>
      </w:r>
      <w:bookmarkStart w:id="36" w:name="_Toc183700752"/>
      <w:r>
        <w:rPr>
          <w:highlight w:val="none"/>
        </w:rPr>
      </w:r>
      <w:bookmarkStart w:id="37" w:name="_Toc189667677"/>
      <w:r>
        <w:rPr>
          <w:color w:val="000000" w:themeColor="text1"/>
          <w:highlight w:val="none"/>
        </w:rPr>
        <w:t xml:space="preserve">8.2 </w:t>
      </w:r>
      <w:r>
        <w:rPr>
          <w:rStyle w:val="1867"/>
          <w:b/>
          <w:color w:val="000000" w:themeColor="text1"/>
          <w:highlight w:val="none"/>
        </w:rPr>
        <w:t xml:space="preserve">Мониторинг технического состояния</w:t>
      </w:r>
      <w:bookmarkEnd w:id="36"/>
      <w:r>
        <w:rPr>
          <w:highlight w:val="none"/>
        </w:rPr>
      </w:r>
      <w:bookmarkEnd w:id="37"/>
      <w:r>
        <w:rPr>
          <w:rStyle w:val="1867"/>
          <w:b/>
          <w:color w:val="000000" w:themeColor="text1"/>
          <w:highlight w:val="none"/>
        </w:rPr>
      </w:r>
      <w:r>
        <w:rPr>
          <w:rStyle w:val="1867"/>
          <w:b/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8.2.1 Для своевременного получения до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стоверной информации о техническом состоянии сетей газораспределения система управления должна обеспечивать осуществление мониторинга в соответствии с ГОСТ 34741, межгосударственных, национальных (государственных) стандартов, стандартов организации, ЛНА и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другой действующей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нормативной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документации</w:t>
      </w:r>
      <w:r>
        <w:rPr>
          <w:rFonts w:eastAsiaTheme="minorEastAsia"/>
          <w:color w:val="000000" w:themeColor="text1"/>
          <w:highlight w:val="none"/>
        </w:rPr>
        <w:t xml:space="preserve">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8.2.2 Методики, необходимое техническое оснащение, а также производственные инструкции и планы-графики проведения мониторинга определяются организацией самостояте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льно с учетом нормативной документации, услов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ий эксплуатации сетей газораспределения и их технических характеристик, результатов оценки технического состояния и технического диагностирования, существующего и планируемого технического оснащения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8.2.3 Методики, состав необходимого технического оснащения, инструкции (производственные, по охране труда, по пожарной безопасности) и планы-графики проведения мониторинга техническ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ого состояния сети газораспределения должны своевременно корректироваться при изменении условий эксплуатации, а также по результатам оценки технического состояния, технического диагностирования, технического обслуживания и ремонтов сетей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8.2.4 Частота и вид мониторинга технического состояния должны быть указаны в графиках регламентных работ.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8.2.5 Результаты мониторинга технического состояния должны документироваться и анализироваться с целью контроля технического состояния сетей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8.2.6 Система управления должна обеспечить: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соответствие технических и технологических устройств, оборудования, приборов и материалов, используемых в процессе эксплуатации сетей газораспределения, установленным нормативным условиям их транспортирования, хранения и области применения;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соответствие средств измерений национальному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(государственному)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законодательству, своевременную поверку и содержание их в исправном состоянии и в соответствии с документацией предприятий-изготовителей.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highlight w:val="none"/>
        </w:rPr>
      </w:pP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</w:p>
    <w:p>
      <w:pPr>
        <w:pStyle w:val="1648"/>
        <w:rPr>
          <w:rStyle w:val="1867"/>
          <w:b/>
          <w:color w:val="000000" w:themeColor="text1"/>
          <w:highlight w:val="none"/>
        </w:rPr>
      </w:pPr>
      <w:r>
        <w:rPr>
          <w:highlight w:val="none"/>
        </w:rPr>
      </w:r>
      <w:bookmarkStart w:id="38" w:name="_Toc183700753"/>
      <w:r>
        <w:rPr>
          <w:highlight w:val="none"/>
        </w:rPr>
      </w:r>
      <w:bookmarkStart w:id="39" w:name="_Toc189667678"/>
      <w:r>
        <w:rPr>
          <w:color w:val="000000" w:themeColor="text1"/>
          <w:highlight w:val="none"/>
        </w:rPr>
        <w:t xml:space="preserve">8.3 </w:t>
      </w:r>
      <w:r>
        <w:rPr>
          <w:rStyle w:val="1867"/>
          <w:b/>
          <w:color w:val="000000" w:themeColor="text1"/>
          <w:highlight w:val="none"/>
        </w:rPr>
        <w:t xml:space="preserve">Техническое обслуживание и ремонт</w:t>
      </w:r>
      <w:bookmarkEnd w:id="38"/>
      <w:r>
        <w:rPr>
          <w:highlight w:val="none"/>
        </w:rPr>
      </w:r>
      <w:bookmarkEnd w:id="39"/>
      <w:r>
        <w:rPr>
          <w:rStyle w:val="1867"/>
          <w:b/>
          <w:color w:val="000000" w:themeColor="text1"/>
          <w:highlight w:val="none"/>
        </w:rPr>
      </w:r>
      <w:r>
        <w:rPr>
          <w:rStyle w:val="1867"/>
          <w:b/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8.3.1 Организация технического обслуживания и ремонта сетей газораспределения должна осуществляться в соответствии с ГОСТ 34741, на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циональных (государственных) стандартов, стандартов организации, ЛНА и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другой действующей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нормативной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документации.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8.3.2 Система управления должна гарантировать, что техническое обслуживание и ремонт сетей газораспределения проводятся: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426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 полном объеме;</w:t>
      </w:r>
      <w:bookmarkStart w:id="40" w:name="_GoBack"/>
      <w:r>
        <w:rPr>
          <w:highlight w:val="none"/>
        </w:rPr>
      </w:r>
      <w:bookmarkEnd w:id="40"/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426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персоналом требуемой компетентности;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 соответствии с планами технического обслуживания и ремонта сетей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 соблюдением технологии и безопасных методов, и приемов работ.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highlight w:val="none"/>
        </w:rPr>
      </w:pP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highlight w:val="none"/>
        </w:rPr>
      </w:r>
      <w:bookmarkStart w:id="41" w:name="_Toc183700754"/>
      <w:r>
        <w:rPr>
          <w:highlight w:val="none"/>
        </w:rPr>
      </w:r>
      <w:bookmarkStart w:id="42" w:name="_Toc189667679"/>
      <w:r>
        <w:rPr>
          <w:color w:val="000000" w:themeColor="text1"/>
          <w:highlight w:val="none"/>
        </w:rPr>
        <w:t xml:space="preserve">8.4 </w:t>
      </w:r>
      <w:bookmarkEnd w:id="41"/>
      <w:r>
        <w:rPr>
          <w:rStyle w:val="1867"/>
          <w:b/>
          <w:color w:val="000000" w:themeColor="text1"/>
          <w:highlight w:val="none"/>
        </w:rPr>
        <w:t xml:space="preserve">Оперативно-диспетчерское управление сетями газораспределения</w:t>
      </w:r>
      <w:bookmarkEnd w:id="42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8.4.1 Система управления, в целях обеспечения эксплуатации сетей газораспределения, выполнения договорных обязательств, а также повышения эффективности транспортировки природного газа, должна гарантировать: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оперативный контроль и управление режимами транспортировки газа (в том числе управление в нештатных ситуациях);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eastAsia="Times New Roman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аварийно-диспетчерское обслуживание;</w:t>
      </w:r>
      <w:r>
        <w:rPr>
          <w:rFonts w:ascii="Arial" w:hAnsi="Arial" w:eastAsia="Times New Roman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Times New Roman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оперативное взаимодействие ГРО с газотранспортными организациями, потребителями услуг по транспортировке газа и потребителями газа;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осуществление контроля объемов транспортировки газа, обеспечение в обоснованных случаях режимов ограничений и переводов потребителей на резервные виды топлива;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анализ режимов транспортировки газа, расхода газа на собственные и технологические нужды, а также потерь газа в сетях газораспределения с учетом действующих нормативных документов;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eastAsia="Times New Roman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поддержание в актуальном состоянии электронных баз данных, геоинформационных систем, гидравлических расчетных схем, </w:t>
      </w:r>
      <w:r>
        <w:rPr>
          <w:rFonts w:ascii="Arial" w:hAnsi="Arial" w:eastAsia="Times New Roman" w:cs="Arial"/>
          <w:color w:val="000000" w:themeColor="text1"/>
          <w:sz w:val="24"/>
          <w:szCs w:val="24"/>
          <w:highlight w:val="none"/>
        </w:rPr>
        <w:t xml:space="preserve">графической информации на сети газораспределения и газопотребления, планов и графиков проведения работ, эксплуатационной документации на объекты сетей газораспределения и газопотребления;</w:t>
      </w:r>
      <w:r>
        <w:rPr>
          <w:rFonts w:ascii="Arial" w:hAnsi="Arial" w:eastAsia="Times New Roman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Times New Roman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eastAsia="Times New Roman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highlight w:val="none"/>
        </w:rPr>
        <w:t xml:space="preserve">- разработку оптимальных режимов работы сети газораспределения и выявления мест с недостаточной пропускной способностью с учетом технических характеристик сетей газораспределения, параметров </w:t>
      </w:r>
      <w:r>
        <w:rPr>
          <w:rFonts w:ascii="Arial" w:hAnsi="Arial" w:eastAsia="Times New Roman" w:cs="Arial"/>
          <w:color w:val="000000" w:themeColor="text1"/>
          <w:sz w:val="24"/>
          <w:szCs w:val="24"/>
          <w:highlight w:val="none"/>
        </w:rPr>
        <w:t xml:space="preserve">газа на выходе ГРС и перед газоиспользующим оборудованием потребителей, существующих и перспективных объемов транспортировки газа, подключения запроектированных и построенных участков сетей, неравномерности газопотребления, а также планируемых ограничений.</w:t>
      </w:r>
      <w:r>
        <w:rPr>
          <w:rFonts w:ascii="Arial" w:hAnsi="Arial" w:eastAsia="Times New Roman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Times New Roman" w:cs="Arial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8.4.2 Система управления должна обеспечить: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круглосуточный прием, обработку, регистрацию и передачу оперативной информации об авариях и инцидентах;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координацию работы аварийных бригад и производственных подразделений организации;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взаимодействие со службами различных ведомств при локализации и ликвидации аварий;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контроль выполнения аварийно-восстановительных работ;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учет и анализ аварий, разработку мероприятий, направленных на снижение аварийности.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8.4.3 Управление локализацией и ликвидацией аварий и инцидентов должно обеспечить: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выявление возможных причин произошедших аварий и инцидентов;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принятие мер по их локализации и ликвидации;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принятие мер, направленных на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устранение непосредственной угрозы жизни или здоровью граждан, причинения вреда имуществу физических или юридических лиц, государственному или муниципальному имуществу, окружающей среде, жизни или здоровью животных и растений.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К указанным мерам относятся, в том числе, разработка, внедрение и актуализация соответствующ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их планов, инструкций и других документов, в которых должны быть отражены способы взаимодействия и привлечения сил и средств, методы и технологии, необходимые материалы, а также способы информирования руководства, вовлеченных сторон и компетентных органов.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8.4.4 План локализации и ликвидации аварий должен пересматриваться не реже чем один раз в 5 лет, а также после авар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ии по результатам технического расследования аварии и совершенствоваться с учетом результатов анализа произведенных работ по локализации и ликвидации аварий. Анализ произведенных работ по локализации и ликвидации аварий и инцидентов должен включать в себя: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выявление основных факторов, негативно влияющих на сроки выполнения работ;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определение соответствия результатов выполненных работ поставленным задачам (эффективность выполненных работ).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8.4.5 Взаимодействие организации с различными ведомствами и службами при локализации и ликвидации а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варий должно осуществляться в соответствии с планом взаимодействия, который должен быть разработан с учетом местных условий, согласован с территориальным органом исполнительной власти в области промышленной безопасности и утвержден приказом по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8.4.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6 Управление работами в процессе эксплуатации сетей газораспределения осуществляют эксплуатационные службы во взаимодействии с производственно-диспетчерской, производственно-технической и службой производственного контроля в соответствии с ЛНА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highlight w:val="none"/>
        </w:rPr>
      </w:pP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</w:p>
    <w:p>
      <w:pPr>
        <w:pStyle w:val="1647"/>
        <w:ind w:firstLine="567"/>
        <w:rPr>
          <w:color w:val="000000" w:themeColor="text1"/>
          <w:highlight w:val="none"/>
        </w:rPr>
      </w:pPr>
      <w:r>
        <w:rPr>
          <w:highlight w:val="none"/>
        </w:rPr>
      </w:r>
      <w:bookmarkStart w:id="43" w:name="_Toc183700756"/>
      <w:r>
        <w:rPr>
          <w:highlight w:val="none"/>
        </w:rPr>
      </w:r>
      <w:bookmarkStart w:id="44" w:name="_Toc189667680"/>
      <w:r>
        <w:rPr>
          <w:color w:val="000000" w:themeColor="text1"/>
          <w:highlight w:val="none"/>
        </w:rPr>
        <w:t xml:space="preserve">9 </w:t>
      </w:r>
      <w:r>
        <w:rPr>
          <w:rStyle w:val="1865"/>
          <w:b/>
          <w:color w:val="000000" w:themeColor="text1"/>
          <w:highlight w:val="none"/>
        </w:rPr>
        <w:t xml:space="preserve">Вывод из эксплуатации, консервация, ликвидация сетей газораспределения</w:t>
      </w:r>
      <w:bookmarkEnd w:id="43"/>
      <w:r>
        <w:rPr>
          <w:highlight w:val="none"/>
        </w:rPr>
      </w:r>
      <w:bookmarkEnd w:id="44"/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9.1 Вывод из эксплуатации сети газораспределен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ия (или ее участка газопровода с сооружениями и техническими устройствами – далее сети газораспределения) включает в себя комплекс работ по утилизации (ликвидации) или, при временном выводе из эксплуатации, по консервации, выполняемых в соответствии с ГОСТ</w:t>
      </w:r>
      <w:r>
        <w:rPr>
          <w:color w:val="000000" w:themeColor="text1"/>
          <w:highlight w:val="none"/>
          <w:lang w:val="en-US"/>
        </w:rPr>
        <w:t xml:space="preserve"> 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34715.0, ГОСТ 34741, национального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(государственного)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законодательства и национальных (государственных) стандартов.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9.2 Перед выводом сети газораспределения из эксплуатации со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бственник сети должен принять решение о ее консервации или ликвидации. Срок консервации устанавливается собственником. При этом необходимо убедиться в отсутствии других потребителей газа и заявок на подключение (технологическое присоединение) от этой сети.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Работы по консервации сети газораспределения выполняет организация, осуществляющая эксплуатацию сети газораспределения в соответствии с разработанной и утвержденной в установленном порядке документацией на консервацию.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9.3 При расконсервации сети газораспределения должен быть разработан план проведения работ, предусматривающий порядок включения технических и технологических устройств, проверку их технического состояния и проведение комплекса работ по эксплуатации.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9.4 Повторный ввод в эксплуатацию объекта газораспределительной системы выполняется в соответствии с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законодательством и национальных (государственных) стандартов и включает в себя работы по вводу данного объекта в эксплуатацию после имевшей место процедуры вывода его из эксплуатации либо расконсервации.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9.5 Ликвидацию сети газораспределения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собственник сети должен выполнить на основании утвержденных планов и в соответствии с утвержденной в установленном порядке документацией. Решения о сохранении в земле подземных участков сети принимает проектная организация с учетом экологических факторов.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9.6 В процессе ликвидации выполняются следующие мероприятия: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 предотвращению загрязнения окружающей среды;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утилизации образовавшихся отходов;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рекультивации нарушенных земель;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предотвращению повреждения зданий и сооружений, расположенных в зоне ликвидируемой сети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сохранению противокоррозионной защиты других сетей;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предотвращению активизации опасных последствий от ликвидации (оползней, обвалов и подобных явлений).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2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9.7 Накопление, сбор, транспортирование, обработку, утилизацию, обезвреживание и размещение опасных производственных отходов выполнить в соответствии с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законодательством</w:t>
      </w:r>
      <w:r>
        <w:rPr>
          <w:rStyle w:val="1825"/>
          <w:rFonts w:eastAsiaTheme="minorEastAsia"/>
          <w:color w:val="000000" w:themeColor="text1"/>
          <w:highlight w:val="none"/>
        </w:rPr>
        <w:footnoteReference w:id="13"/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  <w:vertAlign w:val="superscript"/>
        </w:rPr>
        <w:t xml:space="preserve">)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Arial" w:hAnsi="Arial" w:cs="Arial" w:eastAsiaTheme="minorEastAsia"/>
          <w:color w:val="000000" w:themeColor="text1"/>
          <w:sz w:val="22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2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9.8 Управление процессом вывода из эксплуатации, консервации и ликвидации сетей газораспределения выполняют эксплуатационная служба во взаимодействии с аварийно-диспетчерской и службой производственного контроля в соответствии с ЛНА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highlight w:val="none"/>
        </w:rPr>
      </w:pP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</w:p>
    <w:p>
      <w:pPr>
        <w:pStyle w:val="1647"/>
        <w:rPr>
          <w:rStyle w:val="1865"/>
          <w:b/>
          <w:color w:val="000000" w:themeColor="text1"/>
          <w:highlight w:val="none"/>
        </w:rPr>
      </w:pPr>
      <w:r>
        <w:rPr>
          <w:highlight w:val="none"/>
        </w:rPr>
      </w:r>
      <w:bookmarkStart w:id="45" w:name="_Toc183700757"/>
      <w:r>
        <w:rPr>
          <w:highlight w:val="none"/>
        </w:rPr>
      </w:r>
      <w:bookmarkStart w:id="46" w:name="_Toc189667681"/>
      <w:r>
        <w:rPr>
          <w:color w:val="000000" w:themeColor="text1"/>
          <w:highlight w:val="none"/>
        </w:rPr>
        <w:t xml:space="preserve">10 </w:t>
      </w:r>
      <w:r>
        <w:rPr>
          <w:rStyle w:val="1865"/>
          <w:b/>
          <w:color w:val="000000" w:themeColor="text1"/>
          <w:highlight w:val="none"/>
        </w:rPr>
        <w:t xml:space="preserve">Управление персоналом</w:t>
      </w:r>
      <w:bookmarkEnd w:id="45"/>
      <w:r>
        <w:rPr>
          <w:highlight w:val="none"/>
        </w:rPr>
      </w:r>
      <w:bookmarkEnd w:id="46"/>
      <w:r>
        <w:rPr>
          <w:rStyle w:val="1865"/>
          <w:b/>
          <w:color w:val="000000" w:themeColor="text1"/>
          <w:highlight w:val="none"/>
        </w:rPr>
      </w:r>
      <w:r>
        <w:rPr>
          <w:rStyle w:val="1865"/>
          <w:b/>
          <w:color w:val="000000" w:themeColor="text1"/>
          <w:highlight w:val="none"/>
        </w:rPr>
      </w:r>
    </w:p>
    <w:p>
      <w:pPr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648"/>
        <w:rPr>
          <w:rStyle w:val="1867"/>
          <w:b/>
          <w:color w:val="000000" w:themeColor="text1"/>
          <w:highlight w:val="none"/>
        </w:rPr>
      </w:pPr>
      <w:r>
        <w:rPr>
          <w:highlight w:val="none"/>
        </w:rPr>
      </w:r>
      <w:bookmarkStart w:id="47" w:name="_Toc189667682"/>
      <w:r>
        <w:rPr>
          <w:highlight w:val="none"/>
        </w:rPr>
      </w:r>
      <w:bookmarkStart w:id="48" w:name="_Toc183700758"/>
      <w:r>
        <w:rPr>
          <w:color w:val="000000" w:themeColor="text1"/>
          <w:highlight w:val="none"/>
        </w:rPr>
        <w:t xml:space="preserve">10.1 </w:t>
      </w:r>
      <w:r>
        <w:rPr>
          <w:rStyle w:val="1867"/>
          <w:b/>
          <w:color w:val="000000" w:themeColor="text1"/>
          <w:highlight w:val="none"/>
        </w:rPr>
        <w:t xml:space="preserve">Компетентность</w:t>
      </w:r>
      <w:bookmarkEnd w:id="47"/>
      <w:r>
        <w:rPr>
          <w:highlight w:val="none"/>
        </w:rPr>
      </w:r>
      <w:bookmarkEnd w:id="48"/>
      <w:r>
        <w:rPr>
          <w:rStyle w:val="1867"/>
          <w:b/>
          <w:color w:val="000000" w:themeColor="text1"/>
          <w:highlight w:val="none"/>
        </w:rPr>
      </w:r>
      <w:r>
        <w:rPr>
          <w:rStyle w:val="1867"/>
          <w:b/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10.1.1 Система управления сетями газораспределения должна гарантировать, что к выполнению каждой рабочей операции привлекается в необходимом количестве обученный, аттестованный, информированный и компетентный персонал.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10.1.2 Система управления должна предусматривать: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механизмы идентификации необходимого уровня осведомленности, знаний, умений и навыков, необходимых для выполнения каждой рабочей операции;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разработку программ обучения персонала для достижения им установленного уровня осведомленности, знаний, умений и навыков;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обеспечение своевременной подготовки персонала в соответствии с положениями соответствующих профессиональных стандартов;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документирование и хранение записей об образовании, квалификации и обучении каждого сотрудника с указанием всех пройденных им курсов, программ, и т.п.;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внедрение в организации наставничества.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10.1.3 Функции и требования к компетенции каждого сотрудника должны быть определены и документированы.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10.1.4 Для достижения целей организации и решения задач управления персонал должен быть информирован об актуальности и важности его деятельности, а также вкладе в достижение целей организации, в том числе: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выполнение в полном объеме ут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вержденных должностных и производственных инструкций, планов, графиков, договоров на оказание услуг (по транспортировке газа, подключению (технологическому присоединению), эксплуатации, проектированию, строительству сетей газораспределения и прочих услуг);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 важности соблюдения положений по охране окружающей среды и обеспечении безопасности;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реальных или потенциальных воздействиях производственных процессов на окружающую среду и безопасность;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своей роли и обязанностях в области охраны окружающей среды и безопасности, а также реализации системы управления по обеспечению производственной безопасности;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потенциальных последствиях несоблюдения технологического процесса и ЛНА по охране труда;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об особенностях регулирования сферы деятельности естественной монополии в транспорте газа по трубопроводам и соответствующих требованиях в нормативной правовой базе к регулируемому виду деятельности ГРО.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10.1.5 Информированность персонала должна осуществляться в процессе обучения, вводных и периодических инструктажей, посредством должностных и производственных инструкций, наглядной агитации.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b/>
          <w:bCs/>
          <w:color w:val="000000" w:themeColor="text1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</w:p>
    <w:p>
      <w:pPr>
        <w:pStyle w:val="1648"/>
        <w:rPr>
          <w:rStyle w:val="1867"/>
          <w:b/>
          <w:color w:val="000000" w:themeColor="text1"/>
          <w:highlight w:val="none"/>
        </w:rPr>
      </w:pPr>
      <w:r>
        <w:rPr>
          <w:highlight w:val="none"/>
        </w:rPr>
      </w:r>
      <w:bookmarkStart w:id="49" w:name="_Toc183700759"/>
      <w:r>
        <w:rPr>
          <w:highlight w:val="none"/>
        </w:rPr>
      </w:r>
      <w:bookmarkStart w:id="50" w:name="_Toc189667683"/>
      <w:r>
        <w:rPr>
          <w:color w:val="000000" w:themeColor="text1"/>
          <w:highlight w:val="none"/>
        </w:rPr>
        <w:t xml:space="preserve">10.2 </w:t>
      </w:r>
      <w:r>
        <w:rPr>
          <w:rStyle w:val="1867"/>
          <w:b/>
          <w:color w:val="000000" w:themeColor="text1"/>
          <w:highlight w:val="none"/>
        </w:rPr>
        <w:t xml:space="preserve">Обучение персонала</w:t>
      </w:r>
      <w:bookmarkEnd w:id="49"/>
      <w:r>
        <w:rPr>
          <w:highlight w:val="none"/>
        </w:rPr>
      </w:r>
      <w:bookmarkEnd w:id="50"/>
      <w:r>
        <w:rPr>
          <w:rStyle w:val="1867"/>
          <w:b/>
          <w:color w:val="000000" w:themeColor="text1"/>
          <w:highlight w:val="none"/>
        </w:rPr>
      </w:r>
      <w:r>
        <w:rPr>
          <w:rStyle w:val="1867"/>
          <w:b/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10.2.1 Обучение персонала организации в рамках должностных обязанностей и необходимой компетентности, положений профессиональных стандартов должна осуществляться в соответствии с нормативными правовыми актами и ЛНА.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10.2.2 Руководство должно обеспечивать целенаправленность, непрерывность и индивидуальность процесса обучения персонала на протяжений всего периода трудовой деятельности в целях: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выполнения задач организации;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выявления и развития индивидуальных способностей в интересах персонала и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10.2.3 Уровень и объем обучения персонала должен обеспечить выполнение всех необходимых работ в период жизненного цикла сети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10.2.4 Обучение персонала должно проводиться в организациях, осуществляющих образовательную деятельность, в том числе в собственных образовательных подразделениях.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10.2.5 Для отработки практических навыков необходимо использовать специально оборудованные учебные полигоны, классы.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10.2.6 Программы обучения для рабочих должны предусматривать проведение практических занятий под руководством опытных специалистов.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b/>
          <w:bCs/>
          <w:color w:val="000000" w:themeColor="text1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highlight w:val="none"/>
        </w:rPr>
      </w:r>
      <w:bookmarkStart w:id="51" w:name="_Toc189667684"/>
      <w:r>
        <w:rPr>
          <w:highlight w:val="none"/>
        </w:rPr>
      </w:r>
      <w:bookmarkStart w:id="52" w:name="_Toc183700760"/>
      <w:r>
        <w:rPr>
          <w:color w:val="000000" w:themeColor="text1"/>
          <w:highlight w:val="none"/>
        </w:rPr>
        <w:t xml:space="preserve">10.3 </w:t>
      </w:r>
      <w:r>
        <w:rPr>
          <w:rStyle w:val="1867"/>
          <w:b/>
          <w:color w:val="000000" w:themeColor="text1"/>
          <w:highlight w:val="none"/>
        </w:rPr>
        <w:t xml:space="preserve">Ответственность персонала</w:t>
      </w:r>
      <w:bookmarkEnd w:id="51"/>
      <w:r>
        <w:rPr>
          <w:highlight w:val="none"/>
        </w:rPr>
      </w:r>
      <w:bookmarkEnd w:id="52"/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10.3.1 Система управления должна обеспечивать выполнение в полном объеме персоналом служебных обязанностей, в том числе соблюдение технологической и исполнительской дисциплины.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Ответственность должна быть предусмотрена ЛНА организации. Служба по работе с персоналом во взаимодействии с эксплуатационной, юридической службами осуществляют управление процессами набора, оформления, обучения и контроля за работой персонала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highlight w:val="none"/>
        </w:rPr>
      </w:pP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</w:p>
    <w:p>
      <w:pPr>
        <w:pStyle w:val="1647"/>
        <w:rPr>
          <w:color w:val="000000" w:themeColor="text1"/>
          <w:highlight w:val="none"/>
        </w:rPr>
      </w:pPr>
      <w:r>
        <w:rPr>
          <w:highlight w:val="none"/>
        </w:rPr>
      </w:r>
      <w:bookmarkStart w:id="53" w:name="_Toc183700761"/>
      <w:r>
        <w:rPr>
          <w:highlight w:val="none"/>
        </w:rPr>
      </w:r>
      <w:bookmarkStart w:id="54" w:name="_Toc189667685"/>
      <w:r>
        <w:rPr>
          <w:color w:val="000000" w:themeColor="text1"/>
          <w:highlight w:val="none"/>
        </w:rPr>
        <w:t xml:space="preserve">11 </w:t>
      </w:r>
      <w:r>
        <w:rPr>
          <w:rStyle w:val="1865"/>
          <w:b/>
          <w:color w:val="000000" w:themeColor="text1"/>
          <w:highlight w:val="none"/>
        </w:rPr>
        <w:t xml:space="preserve">Материально-техническое обеспечение организации</w:t>
      </w:r>
      <w:bookmarkEnd w:id="53"/>
      <w:r>
        <w:rPr>
          <w:highlight w:val="none"/>
        </w:rPr>
      </w:r>
      <w:bookmarkEnd w:id="54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highlight w:val="none"/>
        </w:rPr>
      </w:r>
      <w:bookmarkStart w:id="55" w:name="_Toc189667686"/>
      <w:r>
        <w:rPr>
          <w:highlight w:val="none"/>
        </w:rPr>
      </w:r>
      <w:bookmarkStart w:id="56" w:name="_Toc183700762"/>
      <w:r>
        <w:rPr>
          <w:color w:val="000000" w:themeColor="text1"/>
          <w:highlight w:val="none"/>
        </w:rPr>
        <w:t xml:space="preserve">11.1 </w:t>
      </w:r>
      <w:r>
        <w:rPr>
          <w:rStyle w:val="1867"/>
          <w:b/>
          <w:color w:val="000000" w:themeColor="text1"/>
          <w:highlight w:val="none"/>
        </w:rPr>
        <w:t xml:space="preserve">Принципы управления материально-техническим обеспечением</w:t>
      </w:r>
      <w:bookmarkEnd w:id="55"/>
      <w:r>
        <w:rPr>
          <w:highlight w:val="none"/>
        </w:rPr>
      </w:r>
      <w:bookmarkEnd w:id="56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11.1.1 Система управления должна гарантировать, что материально-техническое обеспечение осуществляется на следующих принципах: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организации проведения закупок в соответствии с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законодательством;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соответствия закупок целям и задачам организации;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верификации (входного контроля) поступающих МТР;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соответствия закупаемой продукции и услуг требованиям;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экономической обоснованности;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обеспечения необходимых сроков поставок.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11.1.2 Применение МТР должно быть установлено нормативными документами (межгосударственными стандартами,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техническими регламентами евразийского экономического сообщества, техническими регламентами таможенного союза,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национальными (государственными) стандартами, стандартами организаций и ЛНА организации).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11.1.3 Потребность в МТР определяется расчетным путем с учетом планов капитальных вложений, а также объемов работ по эксплуатации сетей газораспределения, с учетом аварийного (неснижаемого) запаса на основании соответствующих нормативных документов.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11.1.4 Экономическая обоснованность и эффективность закупок определяется на период эксплуатации сетей газораспределения в соответствии с потребностью и бюджетом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b/>
          <w:bCs/>
          <w:color w:val="000000" w:themeColor="text1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</w:p>
    <w:p>
      <w:pPr>
        <w:pStyle w:val="1648"/>
        <w:rPr>
          <w:rStyle w:val="1867"/>
          <w:b/>
          <w:color w:val="000000" w:themeColor="text1"/>
          <w:highlight w:val="none"/>
        </w:rPr>
      </w:pPr>
      <w:r>
        <w:rPr>
          <w:highlight w:val="none"/>
        </w:rPr>
      </w:r>
      <w:bookmarkStart w:id="57" w:name="_Toc189667687"/>
      <w:r>
        <w:rPr>
          <w:highlight w:val="none"/>
        </w:rPr>
      </w:r>
      <w:bookmarkStart w:id="58" w:name="_Toc183700763"/>
      <w:r>
        <w:rPr>
          <w:color w:val="000000" w:themeColor="text1"/>
          <w:highlight w:val="none"/>
        </w:rPr>
        <w:t xml:space="preserve">11.2 </w:t>
      </w:r>
      <w:r>
        <w:rPr>
          <w:rStyle w:val="1867"/>
          <w:b/>
          <w:color w:val="000000" w:themeColor="text1"/>
          <w:highlight w:val="none"/>
        </w:rPr>
        <w:t xml:space="preserve">Организация закупок и хранения материально-технических ресурсов</w:t>
      </w:r>
      <w:bookmarkEnd w:id="57"/>
      <w:r>
        <w:rPr>
          <w:highlight w:val="none"/>
        </w:rPr>
      </w:r>
      <w:bookmarkEnd w:id="58"/>
      <w:r>
        <w:rPr>
          <w:rStyle w:val="1867"/>
          <w:b/>
          <w:color w:val="000000" w:themeColor="text1"/>
          <w:highlight w:val="none"/>
        </w:rPr>
        <w:t xml:space="preserve"> </w:t>
      </w:r>
      <w:r>
        <w:rPr>
          <w:rStyle w:val="1867"/>
          <w:b/>
          <w:color w:val="000000" w:themeColor="text1"/>
          <w:highlight w:val="none"/>
        </w:rPr>
      </w:r>
      <w:r>
        <w:rPr>
          <w:rStyle w:val="1867"/>
          <w:b/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11.2.1 Управление организацией закупок МТР должно обеспечивать проведение закупок в соответствии с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законодательством, принципами материально-технического обеспечения организации и в зависимости от срока поставок заказов.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11.2.2 Мероприятия по организации закупок должны быть проведены в соответствии и с учетом следующих факторов: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плановой потребности в МТР;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утвержденных бюджетов организации;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приоритетности закупок сертифицированной продукции;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обеспечения сервисного (гарантийного) обслуживания;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гарантированных сроков межремонтного и эксплуатационного периода.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11.2.3 Мероприятия по организации хранения материалов и оборудования должны обеспечивать соблюдение национального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(государственного)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законодательства и условий, содержащихся в сопроводительной документации на данные материалы и оборудование.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b/>
          <w:bCs/>
          <w:color w:val="000000" w:themeColor="text1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highlight w:val="none"/>
        </w:rPr>
      </w:r>
      <w:bookmarkStart w:id="59" w:name="_Toc183700764"/>
      <w:r>
        <w:rPr>
          <w:highlight w:val="none"/>
        </w:rPr>
      </w:r>
      <w:bookmarkStart w:id="60" w:name="_Toc189667688"/>
      <w:r>
        <w:rPr>
          <w:color w:val="000000" w:themeColor="text1"/>
          <w:highlight w:val="none"/>
        </w:rPr>
        <w:t xml:space="preserve">11.3 </w:t>
      </w:r>
      <w:r>
        <w:rPr>
          <w:rStyle w:val="1867"/>
          <w:b/>
          <w:color w:val="000000" w:themeColor="text1"/>
          <w:highlight w:val="none"/>
        </w:rPr>
        <w:t xml:space="preserve">Контроль</w:t>
      </w:r>
      <w:bookmarkEnd w:id="59"/>
      <w:r>
        <w:rPr>
          <w:highlight w:val="none"/>
        </w:rPr>
      </w:r>
      <w:bookmarkEnd w:id="60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11.3.1 Система управления должна предусматривать контроль или иные действия, необходимые для обеспечения соответствия материально-технического обеспечения установленным требованиям.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11.3.2 Контроль, предшествующий поставке продукции,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включает в себя мероприятия по оценке и выбору поставщика, в том числе путем проверки соответствия технических условий на изготовление оборудования и материалов установленным техническим требованиям, а также нормативным документам и стандартам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11.3.3 Мероприятия по контролю после поставки продукции поставщиком (повторная оценка) могут проводиться относительно: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добросовестности поставщиков/продавцов услуг;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объема поставки в соответствии с технической спецификацией;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качества исполнения контрактов (контроль сроков поставок, наличие трудностей в осуществлении поставок, несоответствий и рекламаций);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результатов применения и эксплуатации закупаемого оборудования (материально-технического обеспечения).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11.3.4 Результаты контроля (оценки) должны документироваться (в форме листа оценки поставщика, протокола тендерной комиссии, реестре оборудования и материалов).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11.3.5 Контроль призван выявить текущие или потенциальные проблемы с закупкой оборудования и материалов. Результаты контроля должны учитываться при корректировании процесса материально-технического обеспечения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11.3.6 Служба обеспечения МТР организации во взаимодействии с эксплуатационной, производственно-технической, строительной и юридической службами в соответствии с ЛНА обеспечивают управление процессами материально-технического обеспечения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16"/>
          <w:szCs w:val="16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</w:p>
    <w:p>
      <w:pPr>
        <w:pStyle w:val="1647"/>
        <w:rPr>
          <w:rStyle w:val="1865"/>
          <w:b/>
          <w:color w:val="000000" w:themeColor="text1"/>
          <w:highlight w:val="none"/>
        </w:rPr>
      </w:pPr>
      <w:r>
        <w:rPr>
          <w:highlight w:val="none"/>
        </w:rPr>
      </w:r>
      <w:bookmarkStart w:id="61" w:name="_Toc183700765"/>
      <w:r>
        <w:rPr>
          <w:highlight w:val="none"/>
        </w:rPr>
      </w:r>
      <w:bookmarkStart w:id="62" w:name="_Toc189667689"/>
      <w:r>
        <w:rPr>
          <w:color w:val="000000" w:themeColor="text1"/>
          <w:highlight w:val="none"/>
        </w:rPr>
        <w:t xml:space="preserve">12 </w:t>
      </w:r>
      <w:r>
        <w:rPr>
          <w:rStyle w:val="1865"/>
          <w:b/>
          <w:color w:val="000000" w:themeColor="text1"/>
          <w:highlight w:val="none"/>
        </w:rPr>
        <w:t xml:space="preserve">Обеспечение взаимодействия с заинтересованными сторонами</w:t>
      </w:r>
      <w:bookmarkEnd w:id="61"/>
      <w:r>
        <w:rPr>
          <w:highlight w:val="none"/>
        </w:rPr>
      </w:r>
      <w:bookmarkEnd w:id="62"/>
      <w:r>
        <w:rPr>
          <w:rStyle w:val="1865"/>
          <w:b/>
          <w:color w:val="000000" w:themeColor="text1"/>
          <w:highlight w:val="none"/>
        </w:rPr>
      </w:r>
      <w:r>
        <w:rPr>
          <w:rStyle w:val="1865"/>
          <w:b/>
          <w:color w:val="000000" w:themeColor="text1"/>
          <w:highlight w:val="none"/>
        </w:rPr>
      </w:r>
    </w:p>
    <w:p>
      <w:pPr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12.1 </w:t>
      </w:r>
      <w:r>
        <w:rPr>
          <w:rStyle w:val="1867"/>
          <w:b/>
          <w:color w:val="000000" w:themeColor="text1"/>
          <w:highlight w:val="none"/>
        </w:rPr>
        <w:t xml:space="preserve">Взаимодействие с потребителями услуг по транспортировке газа, газотранспортными организациями,</w:t>
      </w:r>
      <w:r>
        <w:rPr>
          <w:color w:val="000000" w:themeColor="text1"/>
          <w:highlight w:val="none"/>
        </w:rPr>
        <w:t xml:space="preserve"> </w:t>
      </w:r>
      <w:r>
        <w:rPr>
          <w:rStyle w:val="1867"/>
          <w:b/>
          <w:color w:val="000000" w:themeColor="text1"/>
          <w:highlight w:val="none"/>
        </w:rPr>
        <w:t xml:space="preserve">потребителями газа, заявителями по подключению (технологическому присоединению) к сетям газораспределения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12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.1.1 Система управления должна обеспечивать взаимодействие организации с потребителями услуг по транспортировке газа, газотранспортными организациями, с потребителями газа, заявителями по подключению (технологическому присоединению) с учетом национального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(государственного)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законодательства.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12.1.2 Взаимодействие с потребителями услуг по транспортировке газа и газотранспортными организациями осуществляется через производственно-диспетчерские службы о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рганизации, уполномоченные на проведение работ по оперативному управлению режимами транспортировки газа, метрологии и учету объемов транспортируемого и потребляемого газа. Взаимодействие с потребителями газа осуществляется клиентскими службами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Организация должна: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выявля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ть существующие и потенциальные требования к услугам по транспортировке газа, возможности потребителей услуг по транспортировке газа, газотранспортной организации и потребности потребителей в отношении объемов природного газа и графиков их транспортировки;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обеспечивать обмен информацией с потребителями газа и потребителями услуг по транспортировке газа и возможность их взаимодействия (при необходимости);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оценивать удовлетворенность потребителей газа и потребителей услуг по транспортировке газа.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12.1.3 Система управления должна предусматривать ме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ры по соблюдению руководством (ответственными лицами) всех положений по договорам транспортировки газа, договоров на подключение (технологическое присоединение) и своевременному доведению сведений об их нарушениях до соответствующих служб для принятия мер.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12.1.4 ГРО мо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жет самостоятельно или совместно с местными органами исполнительной власти разрабатывать и реализовывать мероприятия по оповещению населения о мерах ответственности за несоблюдение правил эксплуатации объектов газопотребления в соответствии с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законодательством.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12.1.5 Система управления должна обеспечить контроль за исполнением договоров на подключение (технологическое присоединение) к газораспределительным сетям по срокам и качеству оказания услуг.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12.1.6 Для передачи и получения необходимой информации могут использоваться средства связи, уведомления, официальные сайты организаций, клиентские службы, местные информационные бюллетени и т.д.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b/>
          <w:bCs/>
          <w:color w:val="000000" w:themeColor="text1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highlight w:val="none"/>
        </w:rPr>
      </w:r>
      <w:bookmarkStart w:id="63" w:name="_Toc183700767"/>
      <w:r>
        <w:rPr>
          <w:highlight w:val="none"/>
        </w:rPr>
      </w:r>
      <w:bookmarkStart w:id="64" w:name="_Toc189667691"/>
      <w:r>
        <w:rPr>
          <w:color w:val="000000" w:themeColor="text1"/>
          <w:highlight w:val="none"/>
        </w:rPr>
        <w:t xml:space="preserve">12.2 </w:t>
      </w:r>
      <w:r>
        <w:rPr>
          <w:rStyle w:val="1867"/>
          <w:b/>
          <w:color w:val="000000" w:themeColor="text1"/>
          <w:highlight w:val="none"/>
        </w:rPr>
        <w:t xml:space="preserve">Взаимодействие с органами исполнительной власти</w:t>
      </w:r>
      <w:bookmarkEnd w:id="63"/>
      <w:r>
        <w:rPr>
          <w:highlight w:val="none"/>
        </w:rPr>
      </w:r>
      <w:bookmarkEnd w:id="64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12.2.1 Управление взаимодействием организации с органами исполнительной власти должно осуществляться по видам деятельности организации и полномочий органов исполнительной власти.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12.2.2 Система управления должна обеспечивать назначение персональных лиц, уполномоченных взаимодействовать с органами исполнительной власти.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12.2.3 Организация должна взаимодействовать с государственными органами и учреждениями,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с органами регулирования естественных монополий,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имеющими отношение к обеспечению безопасности и охране окружающей среды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,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утверждению тарифов на услуги организации, региональных схем газоснабжения, показателей надежности и качества транспортировки газа.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12.2.4 Для обеспечения безопасности и охраны окружающ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ей среды организации могут самостоятельно или совместно с местными органами исполнительной власти разрабатывать и реализовывать мероприятия по оповещению заинтересованных сторон и потребителей о состоянии безопасности и сохранности сетей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b/>
          <w:bCs/>
          <w:color w:val="000000" w:themeColor="text1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</w:p>
    <w:p>
      <w:pPr>
        <w:pStyle w:val="1648"/>
        <w:rPr>
          <w:rStyle w:val="1867"/>
          <w:b/>
          <w:color w:val="000000" w:themeColor="text1"/>
          <w:highlight w:val="none"/>
        </w:rPr>
      </w:pPr>
      <w:r>
        <w:rPr>
          <w:highlight w:val="none"/>
        </w:rPr>
      </w:r>
      <w:bookmarkStart w:id="65" w:name="_Toc183700768"/>
      <w:r>
        <w:rPr>
          <w:highlight w:val="none"/>
        </w:rPr>
      </w:r>
      <w:bookmarkStart w:id="66" w:name="_Toc189667692"/>
      <w:r>
        <w:rPr>
          <w:color w:val="000000" w:themeColor="text1"/>
          <w:highlight w:val="none"/>
        </w:rPr>
        <w:t xml:space="preserve">12.3 </w:t>
      </w:r>
      <w:r>
        <w:rPr>
          <w:rStyle w:val="1867"/>
          <w:b/>
          <w:color w:val="000000" w:themeColor="text1"/>
          <w:highlight w:val="none"/>
        </w:rPr>
        <w:t xml:space="preserve">Взаимодействие с третьими лицами</w:t>
      </w:r>
      <w:bookmarkEnd w:id="65"/>
      <w:r>
        <w:rPr>
          <w:highlight w:val="none"/>
        </w:rPr>
      </w:r>
      <w:bookmarkEnd w:id="66"/>
      <w:r>
        <w:rPr>
          <w:rStyle w:val="1867"/>
          <w:b/>
          <w:color w:val="000000" w:themeColor="text1"/>
          <w:highlight w:val="none"/>
        </w:rPr>
      </w:r>
      <w:r>
        <w:rPr>
          <w:rStyle w:val="1867"/>
          <w:b/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12.3.1 Система управления должна обеспечивать: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взаимодействие организации с третьими лицами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в соответствии с национальным (государственным)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законодательством;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получение разрешений на работы в зоне ответственности третьих лиц, информирование их при необходимости о ходе и сроках выполнения работ;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информирование, при необходимости, третьих лиц о расположении сетей газораспределения и их охранных зон;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оформление разрешений третьим лицам на работу в охранных зонах сетей газораспределения и контроль за их исполнением;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страхование ответственности за причинение вреда жизни, здоровью или имуществу третьих лиц и окружающей среде в случае аварии на опасном производственном объекте в соответстви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и с требованиями национального (государственного)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документирование и своевременное реагирование на информацию, получаемую от третьих лиц, касающуюся планирования работ в охранной зоне сетей газораспределения, выполнения земляных работ в охранной зоне, а также охраны окружающей среды и безопасности.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12.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3.2 Для передачи и получения необходимой информации могут использоваться средства связи, уведомления, официальные сайты организаций, клиентские службы, местные информационные бюллетени, информационные обозначения сетей газораспределения на местности и т.д.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12.3.3 Клиентская служба во взаимодействии со службами, функционально отвечающими за взаимодействие с заинтересованными сторонами, осуществляют основные функции управления взаимодействия.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highlight w:val="none"/>
        </w:rPr>
      </w:pP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</w:p>
    <w:p>
      <w:pPr>
        <w:pStyle w:val="1647"/>
        <w:rPr>
          <w:rStyle w:val="1865"/>
          <w:b/>
          <w:color w:val="000000" w:themeColor="text1"/>
          <w:highlight w:val="none"/>
        </w:rPr>
      </w:pPr>
      <w:r>
        <w:rPr>
          <w:highlight w:val="none"/>
        </w:rPr>
      </w:r>
      <w:bookmarkStart w:id="67" w:name="_Toc189667693"/>
      <w:r>
        <w:rPr>
          <w:highlight w:val="none"/>
        </w:rPr>
      </w:r>
      <w:bookmarkStart w:id="68" w:name="_Toc183700769"/>
      <w:r>
        <w:rPr>
          <w:color w:val="000000" w:themeColor="text1"/>
          <w:highlight w:val="none"/>
        </w:rPr>
        <w:t xml:space="preserve">13 </w:t>
      </w:r>
      <w:r>
        <w:rPr>
          <w:rStyle w:val="1865"/>
          <w:b/>
          <w:color w:val="000000" w:themeColor="text1"/>
          <w:highlight w:val="none"/>
        </w:rPr>
        <w:t xml:space="preserve">Производственная безопасность и охрана окружающей среды</w:t>
      </w:r>
      <w:bookmarkEnd w:id="67"/>
      <w:r>
        <w:rPr>
          <w:highlight w:val="none"/>
        </w:rPr>
      </w:r>
      <w:bookmarkEnd w:id="68"/>
      <w:r>
        <w:rPr>
          <w:rStyle w:val="1865"/>
          <w:b/>
          <w:color w:val="000000" w:themeColor="text1"/>
          <w:highlight w:val="none"/>
        </w:rPr>
      </w:r>
      <w:r>
        <w:rPr>
          <w:rStyle w:val="1865"/>
          <w:b/>
          <w:color w:val="000000" w:themeColor="text1"/>
          <w:highlight w:val="none"/>
        </w:rPr>
      </w:r>
    </w:p>
    <w:p>
      <w:pPr>
        <w:spacing w:line="360" w:lineRule="auto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highlight w:val="none"/>
        </w:rPr>
      </w:r>
      <w:bookmarkStart w:id="69" w:name="_Toc189667694"/>
      <w:r>
        <w:rPr>
          <w:highlight w:val="none"/>
        </w:rPr>
      </w:r>
      <w:bookmarkStart w:id="70" w:name="_Toc183700770"/>
      <w:r>
        <w:rPr>
          <w:color w:val="000000" w:themeColor="text1"/>
          <w:highlight w:val="none"/>
        </w:rPr>
        <w:t xml:space="preserve">13.1 </w:t>
      </w:r>
      <w:r>
        <w:rPr>
          <w:rStyle w:val="1867"/>
          <w:b/>
          <w:color w:val="000000" w:themeColor="text1"/>
          <w:highlight w:val="none"/>
        </w:rPr>
        <w:t xml:space="preserve">Принципы обеспечения производственной безопасности</w:t>
      </w:r>
      <w:bookmarkEnd w:id="69"/>
      <w:r>
        <w:rPr>
          <w:highlight w:val="none"/>
        </w:rPr>
      </w:r>
      <w:bookmarkEnd w:id="70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13.1.1 Система управления должна обеспечивать организацию работ по всем процессам с соблюдением производственной безопасности и охраны окружающей среды в соответстви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и с действующими национальными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законодательными</w:t>
      </w:r>
      <w:r>
        <w:rPr>
          <w:rStyle w:val="1825"/>
          <w:rFonts w:eastAsiaTheme="minorEastAsia"/>
          <w:color w:val="000000" w:themeColor="text1"/>
          <w:highlight w:val="none"/>
        </w:rPr>
        <w:footnoteReference w:customMarkFollows="1" w:id="14"/>
        <w:t xml:space="preserve">1)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и нормативными документами, а также ГОСТ 12.0.230.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13.1.2 Обеспечение производственной безопасности и охраны окружающей среды должно основываться на следующих принципах: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презумпции потенциальной экологической опасности, планируемой и осуществляемой хозяйственной или иной деятельности;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обязательной оценки воздействия хозяйственной деятельности организации на окружающую среду;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учета значимых экологических аспектов в процессе принятия управленческих решений;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обязательного выполнения законодательства в области производственной безопасности и охраны окружающей среды;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планирования мероприятий по обеспечению производственной безопасности;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выполнения действий, направленных на локализацию негативных последствий, обусловленных нарушением производственной безопасности и охраны окружающей среды;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выполнения действий, направленных на учет результатов прогнозирования риска негативных последствий нарушений условий производственной безопасности и охраны окружающей среды и предотвращение таких нарушений;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повышения образовательного уровня персонала в области производственной безопасности и охраны окружающей среды, проверки знаний и своевременной аттестации персонала в соответствии с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законодательством;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формирование и развитие культуры производственной безопасности;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роли руководства по вовлечению работников всех уровней в управление рисками в области производственной безопасности и охраны окружающей среды;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ответственности каждого работника за минимизацию рисков, способных нанести ущерб здоровью и жизни работников, возникновению происшествий;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приоритетности мер предупреждения перед мерами реагирования;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обеспечение непрерывной оценки функционирования системы управления и постоянного мониторинга с целью планирования мероприятий по повышению ее результативности;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непрерывное совершенствование системы управления сетей газораспределения в части обеспечения необходимого уровня производственной безопасности и охраны окружающей среды.</w:t>
      </w: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b/>
          <w:bCs/>
          <w:color w:val="000000" w:themeColor="text1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highlight w:val="none"/>
        </w:rPr>
      </w:r>
      <w:bookmarkStart w:id="71" w:name="_Toc189667695"/>
      <w:r>
        <w:rPr>
          <w:highlight w:val="none"/>
        </w:rPr>
      </w:r>
      <w:bookmarkStart w:id="72" w:name="_Toc183700771"/>
      <w:r>
        <w:rPr>
          <w:color w:val="000000" w:themeColor="text1"/>
          <w:highlight w:val="none"/>
        </w:rPr>
        <w:t xml:space="preserve">13.2 </w:t>
      </w:r>
      <w:r>
        <w:rPr>
          <w:rStyle w:val="1867"/>
          <w:b/>
          <w:color w:val="000000" w:themeColor="text1"/>
          <w:highlight w:val="none"/>
        </w:rPr>
        <w:t xml:space="preserve">Идентификация и анализ опасности</w:t>
      </w:r>
      <w:bookmarkEnd w:id="71"/>
      <w:r>
        <w:rPr>
          <w:highlight w:val="none"/>
        </w:rPr>
      </w:r>
      <w:bookmarkEnd w:id="72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  <w:t xml:space="preserve">13.2.1 Общие положения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13.2.1.1 Управление процессами идентификации и анализа опасности должно осуществляться в соответствии с ГОСТ 12.0.230</w:t>
      </w:r>
      <w:r>
        <w:rPr>
          <w:rStyle w:val="1825"/>
          <w:rFonts w:eastAsiaTheme="minorEastAsia"/>
          <w:color w:val="000000" w:themeColor="text1"/>
          <w:highlight w:val="none"/>
        </w:rPr>
        <w:footnoteReference w:customMarkFollows="1" w:id="15"/>
        <w:t xml:space="preserve">1)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13.2.1.2 Идентифика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ция и анализ опасности должны проводиться в отношении потенциальных опасностей, которые организация может учитывать и контролировать, или на которые может оказывать влияние с точки зрения обеспечения производственной безопасности и охраны окружающей среды.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13.2.1.3 Управление процессами идентификации и анализа опасности должно обе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спечивать выявление и описание источников опасностей, которые имеют или могут иметь серьезное влияние на производственную безопасность и окружающую среду на различных стадиях жизненного цикла сетей газораспределения, а также оценки рисков их возникновения.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  <w:t xml:space="preserve">13.2.2 Сбор и анализ данных по авариям и инцидентам</w:t>
      </w: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13.2.2.1 Процесс идентификации и анализа опасностей должен завершаться выбором действий по минимизации опасностей, к числу которых относятся: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разработка и согласование с надзорными органами соответствующей нормативно-разрешительной документации, в части экологии и охраны окружающей среды;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заключение договоров на транспортировку, переработку и размещение отходов в соответствии с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законодательством;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решение о временном или полном прекращении дальнейшего анализа ввиду незначительности опасностей или достаточности полученных предварительных оценок;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решение о проведении более детального анализа опасностей и оценки риска;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выработка предварительных рекомендаций по уменьшению опасностей.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13.2.2.2 Управление процессом сбора и анализа данных по авариям и инцидентам должно осуществляться в соответствии с требованиями действующих нормативных документов о порядке расследования аварий и инцидентов.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13.2.2.3 Для обеспечения возможности детального анализа аварий и инцидентов и разработки мероприятий по минимизации их количества и последствий экс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плуатирующая организация обязана разрабатывать планы мероприятий по локализации и ликвидации последствий аварий на опасных производственных объектах, специальные формы и методики для сбора и обработки информации, а также соответствующие рабочие инструкции.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  <w:t xml:space="preserve">13.2.3 Сбор и анализ данных о параметрах окружающей среды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13.2.3.1 Управление процессом сбора и анализа данных о параметрах окружающей среды должно осуществляться в соответствии с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законодательством.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13.2.3.2 Управление процессом сбора и анализа данных о параметрах окружающей среды должно обеспечивать регулярный мониторинг и измерение ключевых характеристик окружающей среды, которые могут оказаться под негативным воздействием при строительстве, реконст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рукции, техническом перевооружении, эксплуатации, транспортировке газа, ликвидации и консервации сетей газораспределения, а также выявление характеристик осуществляемых процессов (действий), которые могут оказывать значимое воздействие на окружающую среду.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13.2.3.3 Данные о параметрах окружающей среды должны использоваться в качестве исходных данных при анализе воздействий на окружающую среду.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sz w:val="24"/>
          <w:szCs w:val="24"/>
          <w:highlight w:val="none"/>
        </w:rPr>
        <w:t xml:space="preserve">13.2.4 Анализ воздействий на окружающую среду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13.2.4.1 Анализ воздействий на окружающую среду должен</w:t>
      </w:r>
      <w:r>
        <w:rPr>
          <w:rStyle w:val="1825"/>
          <w:rFonts w:eastAsiaTheme="minorEastAsia"/>
          <w:color w:val="000000" w:themeColor="text1"/>
          <w:highlight w:val="none"/>
        </w:rPr>
        <w:footnoteReference w:customMarkFollows="1" w:id="16"/>
        <w:t xml:space="preserve">1)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осуществляться в соответствии с национальным (государственным) законодательством;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охватывать прямые, косвенные, временные или постоянные воздействия на окружающую среду со стороны сетей газораспределения на всех стадиях их жизненного цикла.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13.2.4.2 Анализ воздействий на окружающую среду должен завершаться разработкой мероприятий по минимизации или компенсации как существующих, так и возможных воздействий на окружающую среду.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highlight w:val="none"/>
        </w:rPr>
      </w:pP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</w:p>
    <w:p>
      <w:pPr>
        <w:pStyle w:val="1648"/>
        <w:rPr>
          <w:color w:val="000000" w:themeColor="text1"/>
          <w:highlight w:val="none"/>
        </w:rPr>
      </w:pPr>
      <w:r>
        <w:rPr>
          <w:highlight w:val="none"/>
        </w:rPr>
      </w:r>
      <w:bookmarkStart w:id="73" w:name="_Toc189667696"/>
      <w:r>
        <w:rPr>
          <w:highlight w:val="none"/>
        </w:rPr>
      </w:r>
      <w:bookmarkStart w:id="74" w:name="_Toc183700772"/>
      <w:r>
        <w:rPr>
          <w:color w:val="000000" w:themeColor="text1"/>
          <w:highlight w:val="none"/>
        </w:rPr>
        <w:t xml:space="preserve">13.3 Административно-производственный контроль</w:t>
      </w:r>
      <w:bookmarkEnd w:id="73"/>
      <w:r>
        <w:rPr>
          <w:highlight w:val="none"/>
        </w:rPr>
      </w:r>
      <w:bookmarkEnd w:id="74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13.3.1 АПК осуществляют с целью предотвращения возможных происшествий, а также получения информации и оценки результативности деятельности организации по управлению рисками в области производственной безопасности и охраны окружающей среды.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13.3.2 Проведение АПК соответствует следующим принципам: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регулярность и плановость проведения проверок;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совместное установление причин выявленных несоответствий требованиям производственной безопасности комиссиями и проверяемыми;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ответственность лиц, осуществляющих АПК, за организационно-методическое сопровождение и совершенствование АПК, полноту, правильность и своевременность выполнения запланированных мероприятий в рамках АПК.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13.3.3 Руководство работой по организации и проведению АПК осуществляют председатель постоянно действующей комиссии по производственной безопасности организации или его заместитель.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13.3.4 Организация АПК, уровни его проведения, состав комиссий, периодичность и сроки проверок, документирование их и контроль за устранением выявленных несоответствий устанавливаются ЛНА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highlight w:val="none"/>
        </w:rPr>
      </w:pP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</w:p>
    <w:p>
      <w:pPr>
        <w:pStyle w:val="1647"/>
        <w:rPr>
          <w:color w:val="000000" w:themeColor="text1"/>
          <w:highlight w:val="none"/>
        </w:rPr>
      </w:pPr>
      <w:r>
        <w:rPr>
          <w:highlight w:val="none"/>
        </w:rPr>
      </w:r>
      <w:bookmarkStart w:id="75" w:name="_Toc189667697"/>
      <w:r>
        <w:rPr>
          <w:highlight w:val="none"/>
        </w:rPr>
      </w:r>
      <w:bookmarkStart w:id="76" w:name="_Toc183700773"/>
      <w:r>
        <w:rPr>
          <w:color w:val="000000" w:themeColor="text1"/>
          <w:highlight w:val="none"/>
        </w:rPr>
        <w:t xml:space="preserve">14 </w:t>
      </w:r>
      <w:r>
        <w:rPr>
          <w:rStyle w:val="1865"/>
          <w:b/>
          <w:color w:val="000000" w:themeColor="text1"/>
          <w:highlight w:val="none"/>
        </w:rPr>
        <w:t xml:space="preserve">Управление несоответствующими выходами процесса</w:t>
      </w:r>
      <w:bookmarkEnd w:id="75"/>
      <w:r>
        <w:rPr>
          <w:highlight w:val="none"/>
        </w:rPr>
      </w:r>
      <w:bookmarkEnd w:id="76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b/>
          <w:color w:val="000000" w:themeColor="text1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14.1 Организация должна обеспечить идентификацию и управление результатами процессов, которые не соответствуют планируемым, в целях предотвращения их использования.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14.2 Организация должна предпринимать соответствующие действия, исходя из характера несоответствия и его влияния на соответствие оказываемых услуг требованиям.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14.3 В зависимости от того, в какой степени нарушены требования, различают следующие виды несоответствий: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значительные, которые с большой долей вероятности могут повлечь невыполнение положений соответствующего стандарта, договора на оказание услуги потребителям;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малозначительные – это не систематическое упущение, недочет в функционировании системы управления, которые могут привести к невыполнению или снижению результативности процесса;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уведомления - это свидетельство аудита, не носящее характер несоответствия и фиксируемое в целях предотвращения возможного несоответствия.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Организация самостоятельно принимает и устанавливает критерии значительности несоответствия.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14.4 Организация должна осуществлять в отношении несоответствующих результатов процессов одно или несколько из следующих действий: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коррекцию действий в рамках процесса;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после коррекции выполнить верификацию на соответствие;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отделение, ограничение (локализацию) ситуации с недопустимыми отклонениями параметров процессов;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информирование потребителей и заинтересованные стороны.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14.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5 Организация должна регистрировать и сохранять документированную информацию, которая описывает несоответствия, предпринятые действия, полученные разрешения на отклонения и указывает лицо (орган), принимавшее решение о действиях в отношении несоответствия.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14.6 Итоги управления несоответствующими выходами процессов рассматриваются при анализе системы управления.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highlight w:val="none"/>
        </w:rPr>
      </w:pP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  <w:r>
        <w:rPr>
          <w:rFonts w:ascii="Arial" w:hAnsi="Arial" w:cs="Arial" w:eastAsiaTheme="minorEastAsia"/>
          <w:color w:val="000000" w:themeColor="text1"/>
          <w:highlight w:val="none"/>
        </w:rPr>
      </w:r>
    </w:p>
    <w:p>
      <w:pPr>
        <w:pStyle w:val="1647"/>
        <w:rPr>
          <w:color w:val="000000" w:themeColor="text1"/>
          <w:highlight w:val="none"/>
        </w:rPr>
      </w:pPr>
      <w:r>
        <w:rPr>
          <w:highlight w:val="none"/>
        </w:rPr>
      </w:r>
      <w:bookmarkStart w:id="77" w:name="_Toc189667698"/>
      <w:r>
        <w:rPr>
          <w:highlight w:val="none"/>
        </w:rPr>
      </w:r>
      <w:bookmarkStart w:id="78" w:name="_Toc183700774"/>
      <w:r>
        <w:rPr>
          <w:color w:val="000000" w:themeColor="text1"/>
          <w:highlight w:val="none"/>
        </w:rPr>
        <w:t xml:space="preserve">15 Анализ и улучшения системы управления</w:t>
      </w:r>
      <w:bookmarkEnd w:id="77"/>
      <w:r>
        <w:rPr>
          <w:highlight w:val="none"/>
        </w:rPr>
      </w:r>
      <w:bookmarkEnd w:id="78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b/>
          <w:bCs/>
          <w:color w:val="000000" w:themeColor="text1"/>
          <w:highlight w:val="none"/>
        </w:rPr>
      </w:pP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  <w:r>
        <w:rPr>
          <w:rFonts w:ascii="Arial" w:hAnsi="Arial" w:cs="Arial" w:eastAsiaTheme="minorEastAsia"/>
          <w:b/>
          <w:bCs/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15.1 Анализ системы управления для обеспечения ее эффективности должен проводиться через установленные интервалы времени и охватывать все процессы.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15.2 Исходными данными для анализа системы управления со стороны руководства являются: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15.2.1 удовлетворенность потребителей качеством оказываемых услуг: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анализ удовлетворенности потребителей по каждой оказываемой услуге в отдельности;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результаты опроса потребителей о качестве оказываемых услугах;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отзывы потребителей о качестве оказываемых услугах;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анализ жалоб и предложений потребителей, поступающих в организацию, своевременность ответов на поступившие жалобы.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Организация должна создать и поддерживать условия для проведения мониторинга удовлетворенности потребителей качеством оказываемых услуг в каждый момент оказания услуги.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15.2.2 соответствие сетей газораспределения нормативным требованиям на основании: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актов оценки технического состояния сетей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результатов технического диагностирования сетей газораспределения с истекшими нормативными сроками эксплуатации;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количества происшествий по сравнению с предыдущим периодом;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результатов расследования происшествий в организации;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результатов внешних и внутренних аудитов и оценки соответствия законодательству и другим положениям, которые организация обязалась (обязана) выполнять;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результатов проверок деятельности организации органами контроля и надзора в области производственной безопасности (количество несоответствий);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результатов оценки рисков аварийных разрушений;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оценки достаточности ресурсов;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оценки качества оказанных услуг;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сообщения заинтересованных сторон, включая жалобы;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15.2.3 действия, предпринятые по результатам предыдущих анализов со стороны руководства;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15.2.4 изменившиеся обстоятельства, включая развитие законодательных и других требований, относящихся к газораспределительным системам;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15.2.5 оценка экономической и энергетической эффективности;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15.2.6 степень достижения целей и выполнения задач системы управления;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15.2.7 рекомендации по улучшению системы управления.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15.3 Результаты анализа должны включать в себя перечень мероприятий, требуемых для изменения системы управления сетями газораспределения с целью повышения ее эффективности.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15.4 Руководство организации вправе самостоятельно определять, как оценивать результативность системы управления. Наиболее значимыми являются три метода: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 реализации установленных 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требований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на основании конкретных показателей;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 степени достижения целей.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 газораспределении, учитывая многообразие процессов, предпочтительнее оценивать по степени достижения целей.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Для достижения положительной динамики процессов управл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ения, цели на каждый отчетный период должны устанавливаться с учетом улучшений результатов по сравнению с предыдущими отчетными периодами. Отдельные цели могут выражаться конкретными числовыми показателями. Примерный перечень целей приведен в приложении Г.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15.5 Руководством организации по результатам анализа должны вноситься, при необходимости, изменения в систему управления сетями газораспределения с целью ее совершенствования.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widowControl w:val="off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sectPr>
          <w:headerReference w:type="default" r:id="rId18"/>
          <w:headerReference w:type="even" r:id="rId19"/>
          <w:footerReference w:type="default" r:id="rId34"/>
          <w:footerReference w:type="even" r:id="rId35"/>
          <w:footnotePr>
            <w:numRestart w:val="eachPage"/>
          </w:footnotePr>
          <w:endnotePr/>
          <w:type w:val="nextPage"/>
          <w:pgSz w:w="11906" w:h="16838" w:orient="portrait"/>
          <w:pgMar w:top="1134" w:right="1134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647"/>
        <w:ind w:left="6237" w:firstLine="0"/>
        <w:rPr>
          <w:color w:val="000000" w:themeColor="text1"/>
          <w:highlight w:val="none"/>
        </w:rPr>
      </w:pPr>
      <w:r>
        <w:rPr>
          <w:highlight w:val="none"/>
        </w:rPr>
      </w:r>
      <w:bookmarkStart w:id="79" w:name="_Toc183700775"/>
      <w:r>
        <w:rPr>
          <w:highlight w:val="none"/>
        </w:rPr>
      </w:r>
      <w:bookmarkStart w:id="80" w:name="_Toc189667699"/>
      <w:r>
        <w:rPr>
          <w:color w:val="000000" w:themeColor="text1"/>
          <w:highlight w:val="none"/>
        </w:rPr>
        <w:t xml:space="preserve">Приложение А</w:t>
      </w:r>
      <w:bookmarkEnd w:id="79"/>
      <w:r>
        <w:rPr>
          <w:highlight w:val="none"/>
        </w:rPr>
      </w:r>
      <w:bookmarkEnd w:id="80"/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center"/>
        <w:spacing w:line="360" w:lineRule="auto"/>
        <w:rPr>
          <w:rFonts w:ascii="Arial" w:hAnsi="Arial" w:cs="Arial" w:eastAsiaTheme="minorEastAsia"/>
          <w:color w:val="000000" w:themeColor="text1"/>
          <w:sz w:val="28"/>
          <w:szCs w:val="28"/>
          <w:highlight w:val="none"/>
        </w:rPr>
      </w:pPr>
      <w:r>
        <w:rPr>
          <w:rFonts w:ascii="Arial" w:hAnsi="Arial" w:cs="Arial"/>
          <w:color w:val="000000" w:themeColor="text1"/>
          <w:sz w:val="28"/>
          <w:szCs w:val="28"/>
          <w:highlight w:val="none"/>
        </w:rPr>
        <w:t xml:space="preserve">(рекомендуемое)</w:t>
      </w:r>
      <w:r>
        <w:rPr>
          <w:rFonts w:ascii="Arial" w:hAnsi="Arial" w:cs="Arial" w:eastAsiaTheme="minorEastAsia"/>
          <w:color w:val="000000" w:themeColor="text1"/>
          <w:sz w:val="28"/>
          <w:szCs w:val="28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highlight w:val="none"/>
        </w:rPr>
      </w:pPr>
      <w:r>
        <w:rPr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85888" behindDoc="0" locked="0" layoutInCell="1" allowOverlap="1">
                <wp:simplePos x="0" y="0"/>
                <wp:positionH relativeFrom="page">
                  <wp:posOffset>1426527</wp:posOffset>
                </wp:positionH>
                <wp:positionV relativeFrom="page">
                  <wp:posOffset>1584347</wp:posOffset>
                </wp:positionV>
                <wp:extent cx="7839075" cy="5854700"/>
                <wp:effectExtent l="0" t="0" r="0" b="0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839074" cy="5854699"/>
                          <a:chOff x="0" y="0"/>
                          <a:chExt cx="7839074" cy="5854699"/>
                        </a:xfrm>
                      </wpg:grpSpPr>
                      <pic:pic xmlns:pic="http://schemas.openxmlformats.org/drawingml/2006/picture">
                        <pic:nvPicPr>
                          <pic:cNvPr id="982207010" name="Рисунок 8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47"/>
                          <a:stretch/>
                        </pic:blipFill>
                        <pic:spPr bwMode="auto">
                          <a:xfrm>
                            <a:off x="0" y="0"/>
                            <a:ext cx="7839074" cy="5854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982207011" name=""/>
                        <wps:cNvSpPr txBox="1"/>
                        <wps:spPr bwMode="auto">
                          <a:xfrm>
                            <a:off x="6281492" y="202284"/>
                            <a:ext cx="1245869" cy="46658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99999"/>
                            </a:schemeClr>
                          </a:solidFill>
                          <a:ln w="7618">
                            <a:solidFill>
                              <a:srgbClr val="9BC2E5">
                                <a:alpha val="99999"/>
                              </a:srgbClr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Потребители услуг по транспортировке газа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</w:rPr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</w:rPr>
                              </w:r>
                            </w:p>
                          </w:txbxContent>
                        </wps:txbx>
  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0000" style="position:absolute;z-index:251685888;o:allowoverlap:true;o:allowincell:true;mso-position-horizontal-relative:page;margin-left:112.32pt;mso-position-horizontal:absolute;mso-position-vertical-relative:page;margin-top:124.75pt;mso-position-vertical:absolute;width:617.25pt;height:461.00pt;mso-wrap-distance-left:0.00pt;mso-wrap-distance-top:0.00pt;mso-wrap-distance-right:0.00pt;mso-wrap-distance-bottom:0.00pt;" coordorigin="0,0" coordsize="78390,58546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6" o:spid="_x0000_s26" type="#_x0000_t75" style="position:absolute;left:0;top:0;width:78390;height:58549;" stroked="f">
                  <v:path textboxrect="0,0,0,0"/>
                  <v:imagedata r:id="rId47" o:title=""/>
                </v:shape>
                <v:shape id="shape 27" o:spid="_x0000_s27" o:spt="202" type="#_x0000_t202" style="position:absolute;left:62814;top:2022;width:12458;height:4665;v-text-anchor:top;visibility:visible;" fillcolor="#FFFFFF" strokecolor="#9BC2E5" strokeweight="0.60pt">
                  <v:fill opacity="-65178f"/>
                  <v:stroke dashstyle="solid"/>
                  <v:textbox inset="0,0,0,0">
                    <w:txbxContent>
                      <w:p>
                        <w:pPr>
                          <w:jc w:val="center"/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Потребители услуг по транспортировке газа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4"/>
                            <w:szCs w:val="14"/>
                          </w:rPr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4"/>
                            <w:szCs w:val="14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color w:val="000000" w:themeColor="text1"/>
          <w:sz w:val="28"/>
          <w:szCs w:val="28"/>
          <w:highlight w:val="none"/>
        </w:rPr>
        <w:t xml:space="preserve">Схема ведущих и дополняющих процессов в газораспределительной организации </w:t>
      </w:r>
      <w:r>
        <w:rPr>
          <w:rFonts w:ascii="Arial" w:hAnsi="Arial" w:cs="Arial"/>
          <w:b/>
          <w:color w:val="000000" w:themeColor="text1"/>
          <w:sz w:val="28"/>
          <w:szCs w:val="28"/>
          <w:highlight w:val="none"/>
        </w:rPr>
      </w:r>
      <w:r>
        <w:rPr>
          <w:rFonts w:ascii="Arial" w:hAnsi="Arial" w:cs="Arial"/>
          <w:b/>
          <w:color w:val="000000" w:themeColor="text1"/>
          <w:sz w:val="28"/>
          <w:szCs w:val="28"/>
          <w:highlight w:val="none"/>
        </w:rPr>
      </w:r>
    </w:p>
    <w:p>
      <w:pPr>
        <w:ind w:firstLine="510"/>
        <w:jc w:val="center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sectPr>
          <w:headerReference w:type="default" r:id="rId20"/>
          <w:headerReference w:type="even" r:id="rId21"/>
          <w:footerReference w:type="default" r:id="rId36"/>
          <w:footerReference w:type="even" r:id="rId37"/>
          <w:footnotePr>
            <w:numFmt w:val="chicago"/>
            <w:numRestart w:val="eachSect"/>
          </w:footnotePr>
          <w:endnotePr/>
          <w:type w:val="nextPage"/>
          <w:pgSz w:w="16838" w:h="11906" w:orient="landscape"/>
          <w:pgMar w:top="1134" w:right="1134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pStyle w:val="1647"/>
        <w:ind w:left="3969" w:firstLine="0"/>
        <w:rPr>
          <w:color w:val="000000" w:themeColor="text1"/>
          <w:highlight w:val="none"/>
        </w:rPr>
      </w:pPr>
      <w:r>
        <w:rPr>
          <w:highlight w:val="none"/>
        </w:rPr>
      </w:r>
      <w:bookmarkStart w:id="81" w:name="_Toc189667700"/>
      <w:r>
        <w:rPr>
          <w:highlight w:val="none"/>
        </w:rPr>
      </w:r>
      <w:bookmarkStart w:id="82" w:name="_Toc183700776"/>
      <w:r>
        <w:rPr>
          <w:color w:val="000000" w:themeColor="text1"/>
          <w:highlight w:val="none"/>
        </w:rPr>
        <w:t xml:space="preserve">Приложение Б</w:t>
      </w:r>
      <w:bookmarkEnd w:id="81"/>
      <w:r>
        <w:rPr>
          <w:highlight w:val="none"/>
        </w:rPr>
      </w:r>
      <w:bookmarkEnd w:id="82"/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284"/>
        <w:jc w:val="center"/>
        <w:spacing w:line="360" w:lineRule="auto"/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8"/>
          <w:szCs w:val="28"/>
          <w:highlight w:val="none"/>
        </w:rPr>
        <w:t xml:space="preserve">(рекомендуемое)</w:t>
      </w: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</w:p>
    <w:p>
      <w:pPr>
        <w:ind w:firstLine="510"/>
        <w:jc w:val="center"/>
        <w:spacing w:line="360" w:lineRule="auto"/>
        <w:rPr>
          <w:rFonts w:ascii="Arial" w:hAnsi="Arial" w:cs="Arial" w:eastAsiaTheme="minorEastAsia"/>
          <w:b/>
          <w:color w:val="000000" w:themeColor="text1"/>
          <w:sz w:val="16"/>
          <w:szCs w:val="16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16"/>
          <w:szCs w:val="16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16"/>
          <w:szCs w:val="16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16"/>
          <w:szCs w:val="16"/>
          <w:highlight w:val="none"/>
        </w:rPr>
      </w:r>
    </w:p>
    <w:p>
      <w:pPr>
        <w:ind w:firstLine="510"/>
        <w:jc w:val="center"/>
        <w:spacing w:line="360" w:lineRule="auto"/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  <w:t xml:space="preserve">Ведущие и дополняющие процессы в газораспределительной организации</w:t>
      </w: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</w:p>
    <w:p>
      <w:pPr>
        <w:ind w:firstLine="510"/>
        <w:jc w:val="center"/>
        <w:spacing w:line="360" w:lineRule="auto"/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Б.1 Проектирование сетей газораспределения 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При подготовке и в ходе процесса выполняются действия: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планирование проектных работ на отчетный период;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заключение договоров с заказчиками на выполнение проектных работ;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получение исходных данных (утвержденных региональных схем газоснабжения, задания на проектирование, технических условий, инженерных изысканий);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выполнение проектно-сметных работ;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согласование с заинтересованными сторонами, заказчиками (функциональными заказчиками);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экспертиза (при необходимости);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принятие корректирующих действий (при необходимости);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передача ПСД заказчику (функциональному заказчику);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участие в работе комиссий по приемке законченного строительством объекта;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ведение авторского надзора.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Б.2 Строительство, реконструкция, техническое перевооружение сетей газораспределения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При подготовке и в ходе работ по строительству, реконструкции, техническом перевооружении выполняются действия: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составление плана-графика строительства (реконструкции, технического перевооружения) всех объектов на отчетный период;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получение ПСД, выход на местность;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получение необходимых согласований и разрешений на производство работ;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подготовка персонала, специальной техники, оборудования;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производство строительно-монтажных работ;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освидетельствование скрытых работ;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строительный контроль;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испытания, подготовка ИД;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участие в работе комиссий по приемке законченных строительством объектов сетей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организация работ по накоплению, сбору, транспортированию, обработке, утилизации, обезвреживанию, размещению отходов;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организация работ по рекультивации земель;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оформление актов выполненных работ;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ежеквартальный анализ выполненных работ;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подготовка и реализация корректирующих действий, направленных на устранение несоответствий.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Б.3 Подключение (технологическое присоединение) к сетям газораспределения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При подготовке и в процессе подключения выполняются действия: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получение ПСД, согласований и разрешений на производство работ;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строительно-монтажные работы;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выполнение заявителем и исполнителем технических условий;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мониторинг исполнителем выполнения технических условий заявителем, кроме случаев, оговоренных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законодательством;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подписание заявителем и исполнителем акта о готовности;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испытания, оформление ИД;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осуществление исполнителем фактического присоединения и пуска газа в сеть газопотребления;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оформление актов о подключении (технологическом присоединении);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оформление актов выполненных работ, списание затрат;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ежемесячный анализ выполнения договоров по качеству работ, срокам подключения и затратам;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подготовка и реализация корректирующих действий по устранению несоответствий.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Б.4 Ввод в эксплуатацию, эксплуатация сетей газораспределения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Все работы по вводу в эксплуатацию, эксплуатации выполняются в соответствии с утвержденными в организации планами и с соблюдением требований законодательства о безопасности.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Б.4.1 Ввод в эксплуатацию законченных строительством сетей газораспределения осуществляется на стадии подключения к действующим сетям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По окончании работ по подключению объектов сетей газораспределения, выполняют следующие работы: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оформление акта ввода в эксплуатацию;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оформление эксплуатационного паспорта;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-корректировка маршрутных карт, планшетов, схем газоснабжения, графиков, электронных баз данных по результатам ввода в эксплуатацию.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Весь комплекс работ по эксплуатации сети газораспределения выполняется в условиях административно-производственного контроля за состоянием производственной безопасности и охраны окружающей среды.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Б.4.2 Мониторинг технического состояния сетей газораспределения: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проверка состояния охранных зон сетей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технический осмотр сетей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техническое обследование;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оценка технического состояния;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техническое диагностирование.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Б.4.3 Техническое обслуживание объектов сетей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Б.4.4 Текущий и капитальный ремонты объектов сетей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Б.4.5 Аварийное- диспетчерское обслуживание объектов сетей газораспределения, контроль за состоянием аварийного и неснижаемого запасов МТР на складах.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Б.4.6 Подготовка сетей газораспределения к работе в осенне-зимнем периоде.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Б.4.7 Перевод на сезонные режимы эксплуатации сетей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Б.4.8 Документирование процессов эксплуатации сетей газораспределения.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Б.4.9 Анализ результатов эксплуатации сетей газораспределения и принятие корректирующих действий по устранению несоответствий.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Б.5 Вывод из эксплуатации, консервация и ликвидация сетей газораспределения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При подготовке и в процессе вывода из эксплуатации, консервации и ликвидации сетей (объектов) газораспределения выполняются действия: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подготовка обоснований для вывода из эксплуатации, консервации и ликвидации сетей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подготовка комплекта документации на консервацию, ликвидацию сетей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экспертиза проектной документации (при необходимости);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подготовка планов производства работ;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выполнение работ по выводу из эксплуатации, консервации и ликвидации;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осуществление АПК за выполняемыми работами;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организация работ по накоплению, сбору, транспортированию, обработке, утилизации, обезвреживанию, размещению отходов;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организация работ по рекультивации земель;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документирование процессов вывода из эксплуатации, консервации и ликвидации сетей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корректировка баз данных и эксплуатационной документации по результатам работ;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анализ и принятие корректирующих действий по устранению несоответствий.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left="426" w:firstLine="141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Б.6 Транспортировка природного газа по сетям газораспределения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67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При подготовке и в процессе транспортировки газа по сетям газораспределения выполняются действия: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заключение договоров с потребителями услуг по транспортировке газа на транспортировку от источников газа до сетей газопотребления потребителей газа;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оперативное взаимодействие в рамках технического соглашения со службами потребителей услуг по транспортировке газа и газотранспортных организаций;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ежесуточный оперативный учет и контроль за транспортировкой газа;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контроль и управление режимами работы сетей газораспределения с установленными на них техническими и технологическими устройствами;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принятие решений и их реализация по ограничению в обоснованных случаях газопотребления отдельным потребителям во взаимодействии с потребителями услуг по транспортировке газа;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регулирование режимов работы сетей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предотвращение нарушений процесса транспортировки газа и аварий на сетях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разработка сбалансированных режимов работы сети газораспределения и выявление мест с недостаточной пропускной способностью с учетом существующих и перспективных потребителей;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оформление актов объемов газопотребления по всем потребителям за отчетный период (месяц);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контроль за соблюдением утвержденных нормативов потерь газа, их минимизация и сокращение;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ежемесячный анализ выполнения договоров транспортировки газа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подготовка и реализация корректирующих действий, направленных на устранение выявленных анализом несоответствий.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Б.7 Управление персоналом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При подготовке и в процессе управления персоналом выполняются действия: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своевременное укомплектование персоналом штатной численности организации;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планирование процесса обучения в соответствии с функциональными обязанностями персонала на отчетный период;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разработка программ обучения;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организация теоретического и практического обучения персонала;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организация процесса наставничества и стажировки в структурных подразделениях;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действия, направленные на популяризацию профессий работников ГРО, проведение конкурсов;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подготовка предложений на поощрения и взыскания по результатам представлений структурных подразделений и руководства;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анализ деятельности процесса управления персоналом за отчетный период;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подготовка корректирующих и предупреждающих действий по результатам анализа.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Б.8 Материально-техническое обеспечение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Процесс включает основные действия: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сбор и уточнение заявок от служб на приобретение МТР в соответствии с планами по всем видам деятельности на предстоящий отчетный период;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планирование закупок МТР на отчетный период;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участие в конкурсных мероприятиях по определению поставщиков МТР;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заключение договоров на поставку МТР;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организация контроля за сроками поставок МТР;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организация приемки МТР на складах;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верификация (входной контроль) поступивших МТР;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взаимодействие с поставщиками по всем случаям отклонений от условий договоров поставок;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участие в реализации комплекса работ по производственным отходам;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пополнение и обновление аварийного и неснижаемого запасов МТР на складах ГРО;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участие в претензионной работе;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подготовка ежеквартального анализа выполнения плана закупок МТР;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подготовка и реализация корректирующих действий, направленных на совершенствование процесса закупок МТР.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Б.9 Взаимодействие с заинтересованными сторонами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Во взаимодействии с заинтересованными сторонами принимают участие многие службы ГРО, при этом выполняются: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Б.9.1 Прием заявок, заключение и контроль исполнения договоров: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на оказание услуг по транспортировке газа;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на подключение к газораспределительным сетям;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на оказание прочих услуг.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Б.9.2 Взаимодействие с органами исполнительной власти по: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согласованию затрат и утверждению тарифов на транспортировку газа;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согласованию затрат и утверждению тарифов на подключение (технологическое присоединение) к сетям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вопросам регулирования деятельности естественных монополий;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согласованию затрат и утверждению тарифов и цен на прочие услуги ГРО;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подготовке предложений по актуализации региональных схем газоснабжения и программ газификации;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оформлению охранных зон сетей газораспределения, имущественных прав на объекты и земельные участки;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 проверкам со стороны надзорных органов.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Б.9.3 Подведение итогов, анализ взаимодействий и планирование корректирующих действий по устранению несоответствий.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Б.10 Производственная безопасность и охрана окружающей среды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Для обеспечения производственной безопасности и охраны окружающей среды выполняются действия: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планир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ование и организация проверок служб организации состояния производственной безопасности и охраны окружающей среды в соответствии с утвержденными в организации Положением о производственном контроле и Положением об административно-производственном контроле;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разработка плана мероприятий по обеспечению производственной безопасности и охраны окружающей среды;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страхование ответственности за возможные аварии на ОПО, страхование имущества ГРО;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актуализация сведений о составе ОПО в ГРО;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классификация происшествий по уровням аварийной опасности в соответствии с требованиями национального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(государственного)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осуществление учета и анализа происшествий, участие в работе комиссий по расследованию причин их возникновения;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участие во внедрении новых технологий и оборудования;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доведение до сведения работников организации об изменениях требований производственной безопасности, проведение при необходимости обучения;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внесение руководству организации предложений о проведении мероприятий по производственной безопасности, об устранении нарушений производственной безопасности, о приостановлении работ, осуществляемых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на ОПО с нарушениями промышленной безопасности, создающих угрозу жизни и здоровью работников, или работ, которые могут привести к происшествию, а также об отстранении от работы и привлечении к ответственности лиц, нарушивших производственную безопасность;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документирование проведения АПК, производственного контроля, составление и представление в органы надзора сведений о его организации;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анализ состояния производственной безопасности по результатам проведения проверок (анализ эффективности производственного контроля);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планирование мероприятий на следующий отчетный период с учетом корректирующих и предупреждающих действий, направленных на устранение несоответствий.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10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br w:type="page" w:clear="all"/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pStyle w:val="1647"/>
        <w:ind w:firstLine="0"/>
        <w:jc w:val="center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Приложение В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647"/>
        <w:ind w:firstLine="0"/>
        <w:jc w:val="center"/>
        <w:rPr>
          <w:color w:val="000000" w:themeColor="text1"/>
          <w:highlight w:val="none"/>
        </w:rPr>
      </w:pPr>
      <w:r>
        <w:rPr>
          <w:rFonts w:eastAsiaTheme="minorEastAsia"/>
          <w:color w:val="000000" w:themeColor="text1"/>
          <w:highlight w:val="none"/>
        </w:rPr>
        <w:t xml:space="preserve">(рекомендуемое)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center"/>
        <w:spacing w:line="360" w:lineRule="auto"/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  <w:t xml:space="preserve">Перечень возможных рисков процессов в газораспределительной организации и средства управления ими </w:t>
      </w: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</w:p>
    <w:p>
      <w:pPr>
        <w:ind w:firstLine="510"/>
        <w:jc w:val="center"/>
        <w:spacing w:line="360" w:lineRule="auto"/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В.1 Проектирование сетей газораспределения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 процессе проектирования возможными рисками являются: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В.1.1 Некачественное выполнение изыскательских работ, повлекшие увеличение возникновения риска аварии или инцидента, увеличение трудозатрат и фактической стоимости строительно-монтажных работ.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В.1.2 Нарушение сроков выполнения проектных работ, повлекших отклонения от графиков выполнения строительно-монтажных работ (штрафные санкции).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В.1.3 Необоснованные отклонения от утвержденных схем газоснабжения, гидравлического расчета и технических условий.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В.1.4 Отклонения от действующих нормативных документов (технические регламенты, своды правил, стандарты.).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В.1.5 Отрицательная экспертиза ПСД.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 качестве средств управления рисками по данному процессу следует применять: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распределение ответственности за негативные последствия между руководителями и сотрудниками служб, принимавших участие в разработке проекта в соответствии с ЛНА организации (в случаях выполнения всего комплекса работ организацией);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распределе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ние рисков в контрактных договорах между участниками (в случаях исполнения изыскательских или проектных видов работ с участием подрядных организаций) а также между сотрудниками служб, принимавших участие в согласовании ПСД в соответствии с ЛНА организации;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ведение авторского надзора, своевременное внесение корректировок в ПСД.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В.2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Строительство, реконструкция, техническое перевооружение сетей газораспределения 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Возможными рисками могут быть: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В.2.1 нарушение сроков и качества исполнения работ, повлекшие претензии заказчиков или заинтересованных сторон;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В.2.2 не устраненные по окончании работ повреждения имущества третьих лиц, земельных и лесных участков, дорог, тротуаров, повлекшие претензии заинтересованных сторон;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В.2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.3 нарушение законодательства о накоплении, сбору, транспортированию, обработке, утилизации, обезвреживанию, размещению отходов, образующихся в процессе строительства, реконструкции, технического перевооружения, повлекшие претензии заинтересованных сторон.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В.2.4 Нарушение производственной безопасности, повлекшие возникновение происшествий во время производства работ.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 качестве средств управления рисками применять: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разработку и исполнение сетевых графиков выполнения этапов строительства и реконструкции с конкретными сроками исполнения этапов;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распределение ответственности за качество и сроки выполнения работ между структурными подразделениями и сотрудниками локальными нормативными актами организации;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распределение рисков в контрактных договорах между участниками (в случаях привлечения подрядных организаций) с обязательным включением в договоры требований производственной безопасности;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допуск к выполнению работ подрядных организаций в соответствии с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законодательством и ЛНА организации;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осуществление АПК, строительного контроля (технического надзора) на всех этапах строительства;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осуществление авторского надзора со стороны проектной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В.3 Подключение (технологическое присоединение) к сетям газораспределения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Возможными рисками являются: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В.3.1 Нарушение сроков и качества исполнения договоров подключения, повлекшие претензии заинтересованных сторон.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В.3.2 Не устраненные по окончании строительных работ повреждения имущества третьих лиц, земельных и лесных участков, дорог, тротуаров, повлекшие претензии заинтересованных сторон.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В.3.3 Нарушения законодательства.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В.3.4 Превышение заявленных объемов газопотребления по сравнению с фактическим.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 качестве средств управления рисками применять: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разработку и исполнение сетевых планов-графиков с указанием конкретных сроков исполнения всех этапов договоров подключ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ения (принятие заявки - заключение договора - проектирование – согласование проекта - строительство – испытания – проверка готовности сети газопотребления к приему газа - первичный пуск газа в газоиспользующее оборудование – оформление акта о подключении);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распределение ответственности ЛНА между сотрудниками (службами) за сроки и качество исполнения планов и графиков подключения;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своевременное согласование с заявителями отклонений по срокам исполнения договоров в обоснованных случаях;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АПК за соблюдением качества строительства и законодательства о безопасности;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проведение сопоставительного анализа газопотребления заявленных и фактических объемов;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принятие мер в рамках национального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(государственного)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законодательства по всем случаям отклонений, выявленных анализом газопотребления.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В.4 Ввод в эксплуатацию, эксплуатация сетей газораспределения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Возможными рисками являются: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В.4.1 Аварии на сетях газораспределения, повлекшие сверхнормативные перерывы в газоснабжении потребителей, причинение вреда жизни и здоровью работников организации, третьим лицам, а также их имуществу: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повреждение третьими лицами подземных и надземных газопроводов с выходом газа;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сквозные коррозионные повреждения на газопроводах и технических устройствах с выходом газа;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отказ в работе технического устройства ПРГ, в результате которого давление газа на выходе из пункта редуцирования газа превышает нормативные значения и может повлечь аварии на сетях газопотребления.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В.4.2 Инциденты на сетях газораспределения, повлекшие сверхнормативные перерывы в газоснабжении потребителей: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повреждения подземных и надземных газопроводов без выхода газа;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отказ (остановка) ПРГ;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отклонения давления газа в газораспределительной сети ниже предусмотренного нормативными документами.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В.4.3 Истечение сроков эксплуатации газопроводов, технических и технологических устройств, зданий ПРГ и отс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утствие на них актов о проведенном техническом диагностировании и экспертизы промышленной безопасности, а также не предусмотренная их замена в соответствии с инвестиционными программами, повлекшие нарушения законодательства о производственной безопасности.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В.4.4 Отсутствие технической возможности для подключения (технологического присоединения), повлекшие претензии заинтересованных сторон.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В.4.5 Нарушения персоналом производственной безопасности, предусмотренных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законодательством, ЛНА, должностными и производственными инструкциями.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 качестве средств управления рисками следует применять: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страхование ОПО сетей газораспределения за причинение вреда в результате аварии на ОПО;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страхование имущества (сетей газораспределения) от аварий;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контроль за режимами работы технологических и технических устройств сетей газораспределения средствами автоматизированной системы управления технологическим процессом;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исполнение планов и графиков регламентных работ в полном объеме;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своевременное планирование мероприятий по увеличению пропускной способности сетей газораспределения в целях перспективного подключения потребителей;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осуществление АПК за состоянием производственной безопасности при эксплуатации ОПО с применением электронных баз данных и геоинформационных систем;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проведение предупреждающих мероприятий соблюдения производственной безопасности;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непосредственное выборочное участие специалистов производственного контроля при проведении особо сложных работ в соответствии с утвержденным специальным планом, выполнение фото-видео фиксации (при необходимости).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В.5 Вывод из эксплуатации, консервация и ликвидация сетей газораспределения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Возможным риском является: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В.5.1 Вывод из эксплуатации, консервация и ликвидация сетей газораспределения без оформления документации на консервацию и ликвидацию, повлекшие нарушения газоснабжения потребителей и претензии заинтересованных сторон.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 качестве средства управления риском рекомендуется своевременно предусматривать в инвестиционных программах работы по выводу из эксплуатации, консервации и ликвидации сетей газораспределения и их замену (при необходимости).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В.6 Транспортировка газа по сетям газораспределения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Возможными рисками при транспортировке газа по сетям газораспределения являются: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В.6.1 Невыполнение договоров на транспортировку газа, сверхнормативные перерывы в газоснабжении по вине ГРО, повлекшие претензии потребителей.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В.6.2 Превышение объема потерь газа показателей, предусмотренных тарифом на транспортировку, повлекшие снижение финансового результата.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В.6.3 Наличие сетей газораспределения прочих собственников и бесхозяйных, участвующих в процессе транспортировки газа, повлекшие претензии заинтересованных сторон и третьих лиц.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 качестве средств управления рисками рекомендуется применять: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ежесуточный оперативный учет объемов транспортировки газа;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оперативное взаимодействие диспетчерских служб ГРО, газотранспортных организаций и потребителей услуг по транспортировке газа;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принятие исчерпывающих мер по определению собственников бесхозяйных сетей газораспределения, оформлению правоустанавливающих документов в соответствии с национальным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(государственным)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законодательством.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В.7 Управление персоналом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Возможными рисками являются: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В.7.1 Не укомплектованность персоналом эксплуатационных служб, повлекших нарушение законодательства о производственной безопасности.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В.7.2 Некачественное проведение обучения, повлекшие нарушения персоналом производственных инструкций и законодательства о производственной безопасности.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 качестве средств управления рисками применять: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работа с профильными организациями, осуществляющими образовательную деятельность;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внедрение механизма наставничества.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В.8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Материально-техническое обеспечение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Возможными рисками при материально-техническом обеспечении являются: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В.8.1 Нарушение сроков поставки МТР, несоответствие по назначению или качеству поставленных МТР заявленным, влияющие на процессы в ГРО и финансовый результат.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В.8.2 Отсутствие или организованная с несоответствиями верификация (входной контроль) поступающих МТР, повлиявшие на другие процессы в организации.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В.8.3 Нарушения условий транспортирования и складирования, повлекших несоответствия требованиям по качеству МТР.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В.8.4 Нарушения безопасности при транспортировании, погрузо-разгрузочных работах и складировании МТР, повлекшие несоответствия законодательству о производственной безопасности.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 качестве средств управления рисками рекомендуется применять: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распределение ответственности с поставщиками МТР за их комплектность, качество и сроки поставок в соответствии с контрактными обязательствами;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организация претензионной работы в случаях несоблюдения контрактных обязательств;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проведение верификации (входного контроля) по видам поступающих МТР комиссиями с привлечением профильных специалистов организации;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АПК за состоянием транспортирования, складирования и хранения МТР, качеством проведения верификации (входного контроля).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В.9 Взаимодействие с заинтересованными сторонами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Возможными рисками являются: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В.9.1 Оказание услуг по-экономически не обоснованным тарифам, повлекшим отрицательный финансовый результат.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В.9.2 Нарушения антимонопольного и налогового законодательства, повлиявшие на финансовый результат.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В.9.3 Репутационные риски за неоднократные нарушения договорных обязательств.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 качестве средств управления рисками рекомендуется применять: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контроль со стороны служб, осуществляющих внутренний аудит, за подготовкой и проведением конкурсных процедур в организации;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проведение ежемесячного анализа исполнения договорных обязательств организации, своевременное принятие корректирующих действий по устранению несоответствий;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организация качественного документирования, учета и анализа затрат в разрезе процессов в качестве доказательной базы при расчетах и обоснованиях тарифов на услуги.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В.10 Производственная безопасность и охрана окружающей среды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Возможными рисками являются: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В.10.1 Нарушения в организации и проведении АПК, повлекшие ухудшение состояния производственной безопасности с риском возникновения происшествий.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В.10.2 Нарушения в обеспечении работников средствами индивидуальной защиты, необходимыми инструментами и оборудованием.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В.10.3 Нарушение сроков регистрации, постановки на учет, страхования ОПО, представления отчетной документации в надзорные органы.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В.10.4 Нарушение утвержденных нормативов в области охраны окружающей среды.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В качестве средств управления рисками применять: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проведение специалистами АПК в службах ГРО в соответствии с законодательством в области производственной безопасности и охраны окружающей среды;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непосредственное выборочное участие специалиста производственного контроля при производстве особо сложных работ, выполняемых по утвержденному специальному плану;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осуществление контроля с применением специального программного обеспечения за подготовкой, проведением и оформлением газоопасных работ и работ с повышенной опасностью.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861"/>
        <w:ind w:left="0" w:firstLine="510"/>
        <w:jc w:val="both"/>
        <w:spacing w:line="360" w:lineRule="auto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  <w:sectPr>
          <w:headerReference w:type="default" r:id="rId22"/>
          <w:headerReference w:type="even" r:id="rId23"/>
          <w:footerReference w:type="default" r:id="rId38"/>
          <w:footerReference w:type="even" r:id="rId39"/>
          <w:footnotePr>
            <w:numRestart w:val="eachPage"/>
          </w:footnotePr>
          <w:endnotePr/>
          <w:type w:val="nextPage"/>
          <w:pgSz w:w="11906" w:h="16838" w:orient="portrait"/>
          <w:pgMar w:top="1134" w:right="1134" w:bottom="1134" w:left="1134" w:header="709" w:footer="709" w:gutter="0"/>
          <w:pgNumType w:start="55"/>
          <w:cols w:num="1" w:sep="0" w:space="708" w:equalWidth="1"/>
          <w:docGrid w:linePitch="360"/>
        </w:sect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p>
      <w:pPr>
        <w:pStyle w:val="1647"/>
        <w:ind w:firstLine="0"/>
        <w:jc w:val="center"/>
        <w:rPr>
          <w:color w:val="000000" w:themeColor="text1"/>
          <w:highlight w:val="none"/>
        </w:rPr>
      </w:pPr>
      <w:r>
        <w:rPr>
          <w:highlight w:val="none"/>
        </w:rPr>
      </w:r>
      <w:bookmarkStart w:id="83" w:name="_Toc183700778"/>
      <w:r>
        <w:rPr>
          <w:highlight w:val="none"/>
        </w:rPr>
      </w:r>
      <w:bookmarkStart w:id="84" w:name="_Toc189667702"/>
      <w:r>
        <w:rPr>
          <w:color w:val="000000" w:themeColor="text1"/>
          <w:highlight w:val="none"/>
        </w:rPr>
        <w:t xml:space="preserve">Приложение Г</w:t>
      </w:r>
      <w:bookmarkEnd w:id="83"/>
      <w:r>
        <w:rPr>
          <w:highlight w:val="none"/>
        </w:rPr>
      </w:r>
      <w:bookmarkEnd w:id="84"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center"/>
        <w:spacing w:line="360" w:lineRule="auto"/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8"/>
          <w:szCs w:val="28"/>
          <w:highlight w:val="none"/>
        </w:rPr>
        <w:t xml:space="preserve">(рекомендуемое)</w:t>
      </w: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  <w:t xml:space="preserve">Перечень целей процессов в газораспределительной организации</w:t>
      </w: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8"/>
          <w:szCs w:val="28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Г.1 Проектирование сетей газораспределения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Рекомендуемыми целями являются: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положительные заключения экспертизы ПСД;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своевременное обеспечение качественной ПСД строительных и производственно-технических служб ГРО в плановые сроки;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оперативное внесение изменений в ПСД (при необходимости) для своевременного и качественного выполнения строительно-монтажных работ;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проведение авторского надзора за производством строительных работ в соответствии с утвержденным графиком и своевременное принятие корректирующих действий при необходимости.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Г.2 Строительство, реконструкция и техническое перевооружение сетей газораспределения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Рекомендуемыми целями являются: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своевременное и полное выполнение планов строительства, реконструкции, технического перевооружения по всем объектам в пределах утвержденных смет в отчетный период;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отсутствие происшествий при выполнении строительно–монтажных работ, в том числе и на инженерных сетях третьих лиц;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отсутствие претензий заказчиков и заинтересованных сторон.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Г.3 Подключение (технологическое присоединение) к сетям газораспределения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Рекомендуемыми целями являются: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отсутствие обоснованных претензий от заявителей и заинтересованных сторон по договорам подключения (технологического присоединения);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соблюдение утвержденных смет на строительство по всем договорам подключения;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повышение уровня загрузки объектов сетей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повышение уровня газификации региона за отчетный период (квартал, год).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Г.4 Ввод в эксплуатацию, эксплуатация сетей газораспределения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Рекомендуемыми целями являются: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отсутствие происшествий, повлекших сверхнормативные перерывы в газоснабжении потребителей, причинение вреда жизни и здоровью работников организации, третьим лицам, а также их имуществу в отчетном периоде;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снижение общего количества происшествий по сравнению с предыдущим периодом;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подготовка в утвержденные сроки сетей газораспределения к работе в осенне-зимнем периоде;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своевременное проведение работ по оценке технического состояния и техническому диагностированию объектов сетей газораспределения;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обеспечение технической возможности сетей газораспределения к подключению (технологическому присоединению) новых потребителей.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Г.5 Вывод из эксплуатации, консервация и ликвидация сетей газораспределения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Рекомендуемой целью для данного процесса является своевременное планирование в инвестиционных программах работ по выводу из эксплуатации, консервации и ликвидации сетей газораспределения и их замена (при необходимости).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Г.6 Транспортировка газа по сетям газораспределения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Для данного процесса рекомендуемыми целями являются: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выполнение планов транспортировки газа на отчетный период в соответствии с заключенными договорами;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соблюдение утвержденных на отчетный период нормативов потерь газа, их минимизация и сокращение;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достижение обобщенного показателя надежности и качества услуг по транспортировке газа равном единице по итогам года;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отсутствие обоснованных претензий потребителей услуг по транспортировке газа, газотранспортных организаций и потребителей газа.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2"/>
          <w:szCs w:val="22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Г.7 Управление персоналом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Рекомендуемыми целями являются: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PT Astra Serif" w:cs="Arial"/>
          <w:color w:val="000000" w:themeColor="text1"/>
          <w:sz w:val="24"/>
          <w:szCs w:val="24"/>
          <w:highlight w:val="none"/>
        </w:rPr>
        <w:t xml:space="preserve">- полная укомплектованность штатной численности персонала служб организации, определенной в соответствии с нормативно-методическими </w:t>
      </w:r>
      <w:r>
        <w:rPr>
          <w:rFonts w:ascii="Arial" w:hAnsi="Arial" w:eastAsia="PT Astra Serif" w:cs="Arial"/>
          <w:color w:val="000000" w:themeColor="text1"/>
          <w:sz w:val="24"/>
          <w:szCs w:val="24"/>
          <w:highlight w:val="none"/>
        </w:rPr>
        <w:t xml:space="preserve">документами, регламентирующими организационную структуру и нормативную численность работников организации и сформированную исходя из оптимальной потребности в персонале с учетом возможного совмещения должностей (профессий) и специфики организации их труда;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снижение текучести кадров персонала в целом и по отдельным профессиям;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своевременное проведение обучения в соответствии с положениями нормативных документов, профессиональных стандартов.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Г.8 Материально-техническое обеспечение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Рекомендуемыми целями являются: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отсутствие претензий от служб ГРО по срокам и качеству поставленных МТР;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снижение количества возвратов МТР по результатам входного контроля по сравнению с предыдущим периодом.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Г.9 Взаимодействие с заинтересованными сторонами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Рекомендуемыми целями являются: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обеспечение ГРО экономически обоснованными тарифами на услуги, согласованными лимитами в части охраны окружающей среды;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отсутствие обоснованных претензий от заинтересованных сторон по всем процессам ГРО;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получение положительных (плановых) финансовых результатов от деятельности по оказанию услуг.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  <w:t xml:space="preserve">Г.10 Производственная безопасность и охрана окружающей среды</w:t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b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Рекомендуемые цели: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снижение общего количества аварий, инцидентов и несчастных случаев на производстве по сравнению с предыдущими отчетными периодами;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- снижение (отсутствие) нарушений, выявленных при осуществлении государственного надзора.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sectPr>
          <w:footerReference w:type="default" r:id="rId40"/>
          <w:footerReference w:type="even" r:id="rId41"/>
          <w:footnotePr>
            <w:numRestart w:val="eachPage"/>
          </w:footnotePr>
          <w:endnotePr/>
          <w:type w:val="nextPage"/>
          <w:pgSz w:w="11906" w:h="16838" w:orient="portrait"/>
          <w:pgMar w:top="1134" w:right="1134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pStyle w:val="1647"/>
        <w:jc w:val="center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Библиография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rPr>
          <w:rFonts w:ascii="Arial" w:hAnsi="Arial" w:cs="Arial" w:eastAsiaTheme="minorEastAsia"/>
          <w:color w:val="000000" w:themeColor="text1"/>
          <w:sz w:val="36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  <w:lang w:val="en-US"/>
        </w:rPr>
        <w:t xml:space="preserve"> </w:t>
      </w:r>
      <w:r>
        <w:rPr>
          <w:rFonts w:ascii="Arial" w:hAnsi="Arial" w:cs="Arial" w:eastAsiaTheme="minorEastAsia"/>
          <w:color w:val="000000" w:themeColor="text1"/>
          <w:sz w:val="36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36"/>
          <w:szCs w:val="24"/>
          <w:highlight w:val="none"/>
        </w:rPr>
      </w:r>
    </w:p>
    <w:tbl>
      <w:tblPr>
        <w:tblW w:w="9355" w:type="dxa"/>
        <w:tblInd w:w="426" w:type="dxa"/>
        <w:tblLook w:val="04A0" w:firstRow="1" w:lastRow="0" w:firstColumn="1" w:lastColumn="0" w:noHBand="0" w:noVBand="1"/>
      </w:tblPr>
      <w:tblGrid>
        <w:gridCol w:w="483"/>
        <w:gridCol w:w="2660"/>
        <w:gridCol w:w="6212"/>
      </w:tblGrid>
      <w:tr>
        <w:tblPrEx/>
        <w:trPr>
          <w:trHeight w:val="868"/>
        </w:trPr>
        <w:tc>
          <w:tcPr>
            <w:tcW w:w="483" w:type="dxa"/>
            <w:textDirection w:val="lrTb"/>
            <w:noWrap w:val="false"/>
          </w:tcPr>
          <w:p>
            <w:pPr>
              <w:spacing w:line="36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[1]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spacing w:line="36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ISO 9000:2015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6212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Quality management systems - Fundamentals and vocabulary (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Системы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менеджмента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качества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.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Основные положения и словарь)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360" w:lineRule="auto"/>
              <w:rPr>
                <w:rFonts w:ascii="Arial" w:hAnsi="Arial" w:eastAsia="Times New Roman" w:cs="Arial"/>
                <w:color w:val="000000" w:themeColor="text1"/>
                <w:sz w:val="16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16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16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16"/>
                <w:szCs w:val="24"/>
                <w:highlight w:val="none"/>
              </w:rPr>
            </w:r>
          </w:p>
        </w:tc>
      </w:tr>
      <w:tr>
        <w:tblPrEx/>
        <w:trPr>
          <w:trHeight w:val="560"/>
        </w:trPr>
        <w:tc>
          <w:tcPr>
            <w:tcW w:w="483" w:type="dxa"/>
            <w:textDirection w:val="lrTb"/>
            <w:noWrap w:val="false"/>
          </w:tcPr>
          <w:p>
            <w:pPr>
              <w:spacing w:line="36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[2]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spacing w:line="36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ISO 9001:2015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6212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Quality management systems - Requirements (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Системы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менеджмента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качества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.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Требования)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360" w:lineRule="auto"/>
              <w:rPr>
                <w:rFonts w:ascii="Arial" w:hAnsi="Arial" w:eastAsia="Times New Roman" w:cs="Arial"/>
                <w:color w:val="000000" w:themeColor="text1"/>
                <w:sz w:val="16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16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16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16"/>
                <w:szCs w:val="24"/>
                <w:highlight w:val="none"/>
              </w:rPr>
            </w:r>
          </w:p>
        </w:tc>
      </w:tr>
      <w:tr>
        <w:tblPrEx/>
        <w:trPr>
          <w:trHeight w:val="840"/>
        </w:trPr>
        <w:tc>
          <w:tcPr>
            <w:tcW w:w="483" w:type="dxa"/>
            <w:textDirection w:val="lrTb"/>
            <w:noWrap w:val="false"/>
          </w:tcPr>
          <w:p>
            <w:pPr>
              <w:spacing w:line="36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[3]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spacing w:line="36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ISO 14001:2015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6212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Environmental management systems - Requirements with guidance for use (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Системы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экологического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менеджмента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.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Требования и руководство по применению)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360" w:lineRule="auto"/>
              <w:rPr>
                <w:rFonts w:ascii="Arial" w:hAnsi="Arial" w:eastAsia="Times New Roman" w:cs="Arial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16"/>
                <w:szCs w:val="16"/>
                <w:highlight w:val="none"/>
              </w:rPr>
            </w:r>
          </w:p>
        </w:tc>
      </w:tr>
      <w:tr>
        <w:tblPrEx/>
        <w:trPr>
          <w:trHeight w:val="1120"/>
        </w:trPr>
        <w:tc>
          <w:tcPr>
            <w:tcW w:w="483" w:type="dxa"/>
            <w:textDirection w:val="lrTb"/>
            <w:noWrap w:val="false"/>
          </w:tcPr>
          <w:p>
            <w:pPr>
              <w:spacing w:line="36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[4]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spacing w:line="36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ISO 45001:2018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6212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Occupational health and safety management systems - Requirements with guidance for use (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Системы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менеджмента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охраны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здоровья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безопасности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труда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.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Требования и руководство по применению)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360" w:lineRule="auto"/>
              <w:rPr>
                <w:rFonts w:ascii="Arial" w:hAnsi="Arial" w:eastAsia="Times New Roman" w:cs="Arial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16"/>
                <w:szCs w:val="16"/>
                <w:highlight w:val="none"/>
              </w:rPr>
            </w:r>
          </w:p>
        </w:tc>
      </w:tr>
      <w:tr>
        <w:tblPrEx/>
        <w:trPr>
          <w:trHeight w:val="840"/>
        </w:trPr>
        <w:tc>
          <w:tcPr>
            <w:tcW w:w="483" w:type="dxa"/>
            <w:textDirection w:val="lrTb"/>
            <w:noWrap w:val="false"/>
          </w:tcPr>
          <w:p>
            <w:pPr>
              <w:spacing w:line="36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[5]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spacing w:line="36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ISO 50001:2018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6212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Energy management systems — Requirements with guidance for use (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Системы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энергетического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менеджмента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.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  <w:t xml:space="preserve">Требования и руководство по их применению)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________________________________________________________________________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УДК 696.2: 006.354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ab/>
        <w:t xml:space="preserve">              МКС 03.100.99,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ab/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ab/>
        <w:t xml:space="preserve">            03.120.10 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ind w:firstLine="510"/>
        <w:jc w:val="both"/>
        <w:spacing w:line="360" w:lineRule="auto"/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  <w:t xml:space="preserve">Ключевые слова: система газораспределения, система управления, сеть газораспределения</w:t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 w:eastAsiaTheme="minorEastAsia"/>
          <w:color w:val="000000" w:themeColor="text1"/>
          <w:sz w:val="24"/>
          <w:szCs w:val="24"/>
          <w:highlight w:val="none"/>
        </w:rPr>
      </w:r>
    </w:p>
    <w:p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________________________________________________________________________</w:t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color w:val="000000" w:themeColor="text1"/>
          <w:sz w:val="24"/>
          <w:szCs w:val="24"/>
          <w:highlight w:val="none"/>
        </w:rPr>
      </w:r>
    </w:p>
    <w:sectPr>
      <w:footerReference w:type="even" r:id="rId42"/>
      <w:footnotePr>
        <w:numRestart w:val="eachPage"/>
      </w:footnotePr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41"/>
      <w:jc w:val="right"/>
      <w:rPr>
        <w:rFonts w:ascii="Arial" w:hAnsi="Arial" w:cs="Arial"/>
        <w:sz w:val="24"/>
        <w:szCs w:val="24"/>
      </w:rPr>
    </w:pPr>
    <w:r>
      <w:rPr>
        <w:rFonts w:ascii="Arial" w:hAnsi="Arial" w:eastAsia="Arial" w:cs="Arial"/>
        <w:sz w:val="24"/>
        <w:szCs w:val="24"/>
      </w:rPr>
      <w:t xml:space="preserve">Ⅲ</w:t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41"/>
      <w:tabs>
        <w:tab w:val="clear" w:pos="4677" w:leader="none"/>
        <w:tab w:val="clear" w:pos="9355" w:leader="none"/>
        <w:tab w:val="right" w:pos="9638" w:leader="none"/>
      </w:tabs>
      <w:rPr>
        <w:rFonts w:ascii="Arial" w:hAnsi="Arial" w:cs="Arial"/>
        <w:sz w:val="24"/>
        <w:szCs w:val="24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53120" behindDoc="1" locked="0" layoutInCell="1" allowOverlap="1">
              <wp:simplePos x="0" y="0"/>
              <wp:positionH relativeFrom="leftMargin">
                <wp:posOffset>335951</wp:posOffset>
              </wp:positionH>
              <wp:positionV relativeFrom="paragraph">
                <wp:posOffset>-263208</wp:posOffset>
              </wp:positionV>
              <wp:extent cx="406717" cy="266685"/>
              <wp:effectExtent l="13017" t="6033" r="6668" b="6665"/>
              <wp:wrapNone/>
              <wp:docPr id="9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 rot="5399976" flipH="1">
                        <a:off x="0" y="0"/>
                        <a:ext cx="406717" cy="266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z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Arial" w:hAnsi="Arial" w:eastAsia="Arial" w:cs="Arial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z w:val="24"/>
                            </w:rPr>
                            <w:t xml:space="preserve">20</w:t>
                          </w:r>
                          <w:r>
                            <w:rPr>
                              <w:rFonts w:ascii="Arial" w:hAnsi="Arial" w:eastAsia="Arial" w:cs="Arial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shape 8" o:spid="_x0000_s8" o:spt="202" type="#_x0000_t202" style="position:absolute;z-index:-251653120;o:allowoverlap:true;o:allowincell:true;mso-position-horizontal-relative:left-margin-area;margin-left:26.45pt;mso-position-horizontal:absolute;mso-position-vertical-relative:text;margin-top:-20.73pt;mso-position-vertical:absolute;width:32.02pt;height:21.00pt;mso-wrap-distance-left:9.00pt;mso-wrap-distance-top:3.60pt;mso-wrap-distance-right:9.00pt;mso-wrap-distance-bottom:3.60pt;rotation:89;flip:x;v-text-anchor:top;visibility:visible;" fillcolor="#FFFFFF" stroked="f" strokeweight="0.75pt">
              <v:textbox inset="0,0,0,0">
                <w:txbxContent>
                  <w:p>
                    <w:pPr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eastAsia="Arial" w:cs="Arial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eastAsia="Arial" w:cs="Arial"/>
                        <w:sz w:val="24"/>
                      </w:rPr>
                      <w:instrText xml:space="preserve">PAGE   \* MERGEFORMAT</w:instrText>
                    </w:r>
                    <w:r>
                      <w:rPr>
                        <w:rFonts w:ascii="Arial" w:hAnsi="Arial" w:eastAsia="Arial" w:cs="Arial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z w:val="24"/>
                      </w:rPr>
                      <w:t xml:space="preserve">20</w:t>
                    </w:r>
                    <w:r>
                      <w:rPr>
                        <w:rFonts w:ascii="Arial" w:hAnsi="Arial" w:eastAsia="Arial" w:cs="Arial"/>
                        <w:sz w:val="24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24"/>
                      </w:rPr>
                    </w:r>
                    <w:r>
                      <w:rPr>
                        <w:rFonts w:ascii="Arial" w:hAnsi="Arial" w:cs="Arial"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41"/>
      <w:rPr>
        <w:rFonts w:ascii="Arial" w:hAnsi="Arial" w:cs="Arial"/>
        <w:sz w:val="24"/>
        <w:szCs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Arial" w:hAnsi="Arial" w:eastAsia="Arial" w:cs="Arial"/>
        <w:sz w:val="24"/>
        <w:szCs w:val="24"/>
      </w:rPr>
      <w:t xml:space="preserve">37</w:t>
    </w:r>
    <w:r>
      <w:rPr>
        <w:rFonts w:ascii="Arial" w:hAnsi="Arial" w:eastAsia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41"/>
      <w:jc w:val="right"/>
      <w:rPr>
        <w:rFonts w:ascii="Arial" w:hAnsi="Arial" w:cs="Arial"/>
        <w:sz w:val="24"/>
        <w:szCs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Arial" w:hAnsi="Arial" w:eastAsia="Arial" w:cs="Arial"/>
        <w:sz w:val="24"/>
        <w:szCs w:val="24"/>
      </w:rPr>
      <w:t xml:space="preserve">36</w:t>
    </w:r>
    <w:r>
      <w:rPr>
        <w:rFonts w:ascii="Arial" w:hAnsi="Arial" w:eastAsia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41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41"/>
      <w:rPr>
        <w:rFonts w:ascii="Arial" w:hAnsi="Arial" w:cs="Arial"/>
        <w:sz w:val="24"/>
        <w:szCs w:val="24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60288" behindDoc="0" locked="0" layoutInCell="1" allowOverlap="1">
              <wp:simplePos x="0" y="0"/>
              <wp:positionH relativeFrom="column">
                <wp:posOffset>-184547</wp:posOffset>
              </wp:positionH>
              <wp:positionV relativeFrom="paragraph">
                <wp:posOffset>-158448</wp:posOffset>
              </wp:positionV>
              <wp:extent cx="369094" cy="428625"/>
              <wp:effectExtent l="3175" t="3175" r="3175" b="3175"/>
              <wp:wrapNone/>
              <wp:docPr id="10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69092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  <a:prstDash val="solid"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color w:val="000000" w:themeColor="text1"/>
                              <w:sz w:val="24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54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r>
                        </w:p>
                      </w:txbxContent>
                    </wps:txbx>
                    <wps:bodyPr vertOverflow="overflow" horzOverflow="overflow" vert="vert" wrap="square" lIns="91440" tIns="45720" rIns="91440" bIns="45720" numCol="1" spcCol="0" rtlCol="0" fromWordArt="0" anchor="t" anchorCtr="0" forceAA="0" compatLnSpc="0"/>
                  </wps:wsp>
                </a:graphicData>
              </a:graphic>
            </wp:anchor>
          </w:drawing>
        </mc:Choice>
        <mc:Fallback>
          <w:pict>
            <v:shape id="shape 9" o:spid="_x0000_s9" o:spt="202" type="#_x0000_t202" style="position:absolute;z-index:251660288;o:allowoverlap:true;o:allowincell:true;mso-position-horizontal-relative:text;margin-left:-14.53pt;mso-position-horizontal:absolute;mso-position-vertical-relative:text;margin-top:-12.48pt;mso-position-vertical:absolute;width:29.06pt;height:33.75pt;mso-wrap-distance-left:9.07pt;mso-wrap-distance-top:0.00pt;mso-wrap-distance-right:9.07pt;mso-wrap-distance-bottom:0.00pt;v-text-anchor:top;visibility:visible;" fillcolor="#FFFFFF" strokecolor="#FFFFFF" strokeweight="0.50pt">
              <v:stroke dashstyle="solid"/>
              <v:textbox inset="0,0,0,0">
                <w:txbxContent>
                  <w:p>
                    <w:pPr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  <w14:textOutline w14:w="635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eastAsia="Arial" w:cs="Arial"/>
                        <w:color w:val="000000" w:themeColor="text1"/>
                        <w:sz w:val="24"/>
                        <w:szCs w:val="24"/>
                        <w14:textOutline w14:w="635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54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  <w14:textOutline w14:w="635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  <w:r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  <w14:textOutline w14:w="635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41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PAGE \* MERGEFORMAT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 xml:space="preserve">67</w:t>
    </w:r>
    <w:r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41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PAGE   \* MERGEFORMAT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 xml:space="preserve">68</w:t>
    </w:r>
    <w:r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41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PAGE \* MERGEFORMAT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 xml:space="preserve">73</w:t>
    </w:r>
    <w:r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41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PAGE   \* MERGEFORMAT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 xml:space="preserve">70</w:t>
    </w:r>
    <w:r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41"/>
      <w:jc w:val="right"/>
      <w:rPr>
        <w:rFonts w:ascii="Arial" w:hAnsi="Arial" w:cs="Arial"/>
        <w:sz w:val="24"/>
        <w:szCs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Arial" w:hAnsi="Arial" w:eastAsia="Arial" w:cs="Arial"/>
        <w:sz w:val="24"/>
        <w:szCs w:val="24"/>
      </w:rPr>
      <w:t xml:space="preserve">72</w:t>
    </w:r>
    <w:r>
      <w:rPr>
        <w:rFonts w:ascii="Arial" w:hAnsi="Arial" w:eastAsia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41"/>
      <w:rPr>
        <w:rFonts w:ascii="Arial" w:hAnsi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lang w:val="en-US"/>
      </w:rPr>
      <w:t xml:space="preserve">II</w:t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41"/>
      <w:jc w:val="right"/>
      <w:rPr>
        <w:rFonts w:ascii="Arial" w:hAnsi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lang w:val="en-US"/>
      </w:rPr>
      <w:t xml:space="preserve">III</w:t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41"/>
      <w:rPr>
        <w:rFonts w:ascii="Arial" w:hAnsi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lang w:val="en-US"/>
      </w:rPr>
      <w:t xml:space="preserve">IV</w:t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41"/>
      <w:jc w:val="right"/>
      <w:rPr>
        <w:rFonts w:ascii="Arial" w:hAnsi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lang w:val="en-US"/>
      </w:rPr>
      <w:t xml:space="preserve">V</w:t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41"/>
      <w:rPr>
        <w:rFonts w:ascii="Arial" w:hAnsi="Arial" w:cs="Arial"/>
        <w:sz w:val="24"/>
        <w:szCs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Arial" w:hAnsi="Arial" w:eastAsia="Arial" w:cs="Arial"/>
        <w:sz w:val="24"/>
        <w:szCs w:val="24"/>
      </w:rPr>
      <w:t xml:space="preserve">9</w:t>
    </w:r>
    <w:r>
      <w:rPr>
        <w:rFonts w:ascii="Arial" w:hAnsi="Arial" w:eastAsia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99548225"/>
      <w:docPartObj>
        <w:docPartGallery w:val="AutoText"/>
      </w:docPartObj>
      <w:rPr/>
    </w:sdtPr>
    <w:sdtContent>
      <w:p>
        <w:pPr>
          <w:pStyle w:val="1841"/>
          <w:jc w:val="right"/>
          <w:rPr>
            <w:rFonts w:ascii="Arial" w:hAnsi="Arial" w:cs="Arial"/>
            <w:sz w:val="24"/>
          </w:rPr>
        </w:pPr>
        <w:r>
          <w:rPr>
            <w:rFonts w:ascii="Arial" w:hAnsi="Arial" w:cs="Arial"/>
            <w:sz w:val="24"/>
          </w:rPr>
          <w:fldChar w:fldCharType="begin"/>
        </w:r>
        <w:r>
          <w:rPr>
            <w:rFonts w:ascii="Arial" w:hAnsi="Arial" w:cs="Arial"/>
            <w:sz w:val="24"/>
          </w:rPr>
          <w:instrText xml:space="preserve">PAGE   \* MERGEFORMAT</w:instrText>
        </w:r>
        <w:r>
          <w:rPr>
            <w:rFonts w:ascii="Arial" w:hAnsi="Arial" w:cs="Arial"/>
            <w:sz w:val="24"/>
          </w:rPr>
          <w:fldChar w:fldCharType="separate"/>
        </w:r>
        <w:r>
          <w:rPr>
            <w:sz w:val="24"/>
          </w:rPr>
          <w:t xml:space="preserve">1</w:t>
        </w:r>
        <w:r>
          <w:rPr>
            <w:rFonts w:ascii="Arial" w:hAnsi="Arial" w:cs="Arial"/>
            <w:sz w:val="24"/>
          </w:rPr>
          <w:fldChar w:fldCharType="end"/>
        </w:r>
        <w:r>
          <w:rPr>
            <w:rFonts w:ascii="Arial" w:hAnsi="Arial" w:cs="Arial"/>
            <w:sz w:val="24"/>
          </w:rPr>
        </w:r>
        <w:r>
          <w:rPr>
            <w:rFonts w:ascii="Arial" w:hAnsi="Arial" w:cs="Arial"/>
            <w:sz w:val="24"/>
          </w:rPr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41"/>
      <w:jc w:val="right"/>
      <w:rPr>
        <w:rFonts w:ascii="Arial" w:hAnsi="Arial" w:cs="Arial"/>
        <w:sz w:val="24"/>
        <w:szCs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Arial" w:hAnsi="Arial" w:eastAsia="Arial" w:cs="Arial"/>
        <w:sz w:val="24"/>
        <w:szCs w:val="24"/>
      </w:rPr>
      <w:t xml:space="preserve">8</w:t>
    </w:r>
    <w:r>
      <w:rPr>
        <w:rFonts w:ascii="Arial" w:hAnsi="Arial" w:eastAsia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pPr>
      <w:pStyle w:val="184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835"/>
        <w:ind w:firstLine="567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1)</w:t>
      </w:r>
      <w:r>
        <w:rPr>
          <w:rFonts w:ascii="Arial" w:hAnsi="Arial" w:cs="Arial"/>
        </w:rPr>
        <w:t xml:space="preserve"> В Российской Федерации действует ГОСТ Р 27.102-2021.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</w:footnote>
  <w:footnote w:id="3">
    <w:p>
      <w:pPr>
        <w:pStyle w:val="1835"/>
        <w:ind w:firstLine="567"/>
      </w:pPr>
      <w:r>
        <w:rPr>
          <w:rStyle w:val="1825"/>
        </w:rPr>
        <w:t xml:space="preserve">1)</w:t>
      </w:r>
      <w:r>
        <w:t xml:space="preserve"> </w:t>
      </w:r>
      <w:r>
        <w:rPr>
          <w:rFonts w:ascii="Arial" w:hAnsi="Arial" w:cs="Arial"/>
        </w:rPr>
        <w:t xml:space="preserve">В Российской Федерации действует ГОСТ Р ИСО 9001-2015.</w:t>
      </w:r>
      <w:r/>
    </w:p>
  </w:footnote>
  <w:footnote w:id="4">
    <w:p>
      <w:pPr>
        <w:ind w:firstLine="510"/>
        <w:jc w:val="both"/>
        <w:widowControl w:val="off"/>
        <w:rPr>
          <w:rFonts w:ascii="Arial" w:hAnsi="Arial" w:cs="Arial" w:eastAsiaTheme="minorEastAsia"/>
        </w:rPr>
      </w:pPr>
      <w:r>
        <w:rPr>
          <w:rStyle w:val="1825"/>
        </w:rPr>
        <w:t xml:space="preserve">1</w:t>
      </w:r>
      <w:r>
        <w:rPr>
          <w:rStyle w:val="1825"/>
          <w:szCs w:val="28"/>
        </w:rPr>
        <w:t xml:space="preserve">)</w:t>
      </w:r>
      <w:r>
        <w:rPr>
          <w:sz w:val="18"/>
        </w:rPr>
        <w:t xml:space="preserve"> </w:t>
      </w:r>
      <w:r>
        <w:rPr>
          <w:rFonts w:ascii="Arial" w:hAnsi="Arial" w:cs="Arial" w:eastAsiaTheme="minorEastAsia"/>
        </w:rPr>
        <w:t xml:space="preserve">PDCA может быть применена следующим образом:</w:t>
      </w:r>
      <w:r>
        <w:rPr>
          <w:rFonts w:ascii="Arial" w:hAnsi="Arial" w:cs="Arial" w:eastAsiaTheme="minorEastAsia"/>
        </w:rPr>
      </w:r>
      <w:r>
        <w:rPr>
          <w:rFonts w:ascii="Arial" w:hAnsi="Arial" w:cs="Arial" w:eastAsiaTheme="minorEastAsia"/>
        </w:rPr>
      </w:r>
    </w:p>
    <w:p>
      <w:pPr>
        <w:ind w:firstLine="510"/>
        <w:jc w:val="both"/>
        <w:widowControl w:val="off"/>
        <w:rPr>
          <w:rFonts w:ascii="Arial" w:hAnsi="Arial" w:cs="Arial" w:eastAsiaTheme="minorEastAsia"/>
        </w:rPr>
      </w:pPr>
      <w:r>
        <w:rPr>
          <w:rFonts w:ascii="Arial" w:hAnsi="Arial" w:cs="Arial" w:eastAsiaTheme="minorEastAsia"/>
        </w:rPr>
        <w:t xml:space="preserve">- планирование (Plan): разработка целей и определение процессов, необходимых для достижения целей;</w:t>
      </w:r>
      <w:r>
        <w:rPr>
          <w:rFonts w:ascii="Arial" w:hAnsi="Arial" w:cs="Arial" w:eastAsiaTheme="minorEastAsia"/>
        </w:rPr>
      </w:r>
      <w:r>
        <w:rPr>
          <w:rFonts w:ascii="Arial" w:hAnsi="Arial" w:cs="Arial" w:eastAsiaTheme="minorEastAsia"/>
        </w:rPr>
      </w:r>
    </w:p>
    <w:p>
      <w:pPr>
        <w:ind w:firstLine="510"/>
        <w:jc w:val="both"/>
        <w:widowControl w:val="off"/>
        <w:rPr>
          <w:rFonts w:ascii="Arial" w:hAnsi="Arial" w:cs="Arial" w:eastAsiaTheme="minorEastAsia"/>
        </w:rPr>
      </w:pPr>
      <w:r>
        <w:rPr>
          <w:rFonts w:ascii="Arial" w:hAnsi="Arial" w:cs="Arial" w:eastAsiaTheme="minorEastAsia"/>
        </w:rPr>
        <w:t xml:space="preserve">- выполнение (Do): внедрение и реализация процессов;</w:t>
      </w:r>
      <w:r>
        <w:rPr>
          <w:rFonts w:ascii="Arial" w:hAnsi="Arial" w:cs="Arial" w:eastAsiaTheme="minorEastAsia"/>
        </w:rPr>
      </w:r>
      <w:r>
        <w:rPr>
          <w:rFonts w:ascii="Arial" w:hAnsi="Arial" w:cs="Arial" w:eastAsiaTheme="minorEastAsia"/>
        </w:rPr>
      </w:r>
    </w:p>
    <w:p>
      <w:pPr>
        <w:ind w:firstLine="510"/>
        <w:jc w:val="both"/>
        <w:widowControl w:val="off"/>
        <w:rPr>
          <w:rFonts w:ascii="Arial" w:hAnsi="Arial" w:cs="Arial" w:eastAsiaTheme="minorEastAsia"/>
        </w:rPr>
      </w:pPr>
      <w:r>
        <w:rPr>
          <w:rFonts w:ascii="Arial" w:hAnsi="Arial" w:cs="Arial" w:eastAsiaTheme="minorEastAsia"/>
        </w:rPr>
        <w:t xml:space="preserve">- контроль </w:t>
      </w:r>
      <w:r>
        <w:rPr>
          <w:rFonts w:ascii="Arial" w:hAnsi="Arial" w:cs="Arial" w:eastAsiaTheme="minorEastAsia"/>
        </w:rPr>
        <w:t xml:space="preserve">(Check): проведение мониторинга и измерения показателей процессов при их реализации, а также анализ процессов с точки зрения достижения целей и выполнения задач, обеспечения соответствия законодательным и другим положениям; подготовка отчета о результатах;</w:t>
      </w:r>
      <w:r>
        <w:rPr>
          <w:rFonts w:ascii="Arial" w:hAnsi="Arial" w:cs="Arial" w:eastAsiaTheme="minorEastAsia"/>
        </w:rPr>
      </w:r>
      <w:r>
        <w:rPr>
          <w:rFonts w:ascii="Arial" w:hAnsi="Arial" w:cs="Arial" w:eastAsiaTheme="minorEastAsia"/>
        </w:rPr>
      </w:r>
    </w:p>
    <w:p>
      <w:pPr>
        <w:pStyle w:val="1835"/>
        <w:ind w:firstLine="510"/>
        <w:jc w:val="both"/>
      </w:pPr>
      <w:r>
        <w:rPr>
          <w:rFonts w:ascii="Arial" w:hAnsi="Arial" w:cs="Arial" w:eastAsiaTheme="minorEastAsia"/>
        </w:rPr>
        <w:t xml:space="preserve">- действие (Act): выполнение действий по постоянному улучшению результативности системы управления.</w:t>
      </w:r>
      <w:r/>
    </w:p>
  </w:footnote>
  <w:footnote w:id="5">
    <w:p>
      <w:pPr>
        <w:pStyle w:val="1835"/>
        <w:ind w:firstLine="510"/>
      </w:pPr>
      <w:r>
        <w:rPr>
          <w:rStyle w:val="1825"/>
          <w:sz w:val="20"/>
          <w:szCs w:val="20"/>
        </w:rPr>
        <w:t xml:space="preserve">1)</w:t>
      </w:r>
      <w:r>
        <w:t xml:space="preserve"> </w:t>
      </w:r>
      <w:r>
        <w:rPr>
          <w:rFonts w:ascii="Arial" w:hAnsi="Arial" w:eastAsia="Arial" w:cs="Arial"/>
          <w:color w:val="000000"/>
        </w:rPr>
        <w:t xml:space="preserve">В Российской Федерации действует ГОСТ Р ИСО 9001-2015</w:t>
      </w:r>
      <w:r>
        <w:t xml:space="preserve">.</w:t>
      </w:r>
      <w:r/>
    </w:p>
  </w:footnote>
  <w:footnote w:id="6">
    <w:p>
      <w:pPr>
        <w:pStyle w:val="1835"/>
        <w:ind w:firstLine="510"/>
      </w:pPr>
      <w:r>
        <w:rPr>
          <w:rStyle w:val="1825"/>
          <w:sz w:val="20"/>
          <w:szCs w:val="20"/>
        </w:rPr>
        <w:t xml:space="preserve">2)</w:t>
      </w:r>
      <w:r>
        <w:t xml:space="preserve"> </w:t>
      </w:r>
      <w:r>
        <w:rPr>
          <w:rFonts w:ascii="Arial" w:hAnsi="Arial" w:eastAsia="Arial" w:cs="Arial"/>
          <w:color w:val="000000"/>
        </w:rPr>
        <w:t xml:space="preserve">В Российской Федерации действует ГОСТ Р ИСО 14001-2016</w:t>
      </w:r>
      <w:r>
        <w:t xml:space="preserve">.</w:t>
      </w:r>
      <w:r/>
    </w:p>
  </w:footnote>
  <w:footnote w:id="7">
    <w:p>
      <w:pPr>
        <w:pStyle w:val="1835"/>
        <w:ind w:firstLine="510"/>
      </w:pPr>
      <w:r>
        <w:rPr>
          <w:rStyle w:val="1825"/>
          <w:sz w:val="20"/>
          <w:szCs w:val="20"/>
        </w:rPr>
        <w:t xml:space="preserve">3)</w:t>
      </w:r>
      <w:r>
        <w:t xml:space="preserve"> </w:t>
      </w:r>
      <w:r>
        <w:rPr>
          <w:rFonts w:ascii="Arial" w:hAnsi="Arial" w:eastAsia="Arial" w:cs="Arial"/>
          <w:color w:val="000000"/>
        </w:rPr>
        <w:t xml:space="preserve">В Российской Федерации действует ГОСТ Р ИСО 45001-2020</w:t>
      </w:r>
      <w:r>
        <w:t xml:space="preserve">.</w:t>
      </w:r>
      <w:r/>
    </w:p>
  </w:footnote>
  <w:footnote w:id="8">
    <w:p>
      <w:pPr>
        <w:pStyle w:val="1835"/>
        <w:ind w:firstLine="510"/>
      </w:pPr>
      <w:r>
        <w:rPr>
          <w:rStyle w:val="1825"/>
          <w:sz w:val="20"/>
          <w:szCs w:val="20"/>
        </w:rPr>
        <w:t xml:space="preserve">4)</w:t>
      </w:r>
      <w:r>
        <w:t xml:space="preserve"> </w:t>
      </w:r>
      <w:r>
        <w:rPr>
          <w:rFonts w:ascii="Arial" w:hAnsi="Arial" w:eastAsia="Arial" w:cs="Arial"/>
          <w:color w:val="000000"/>
        </w:rPr>
        <w:t xml:space="preserve">В Российской Федерации действует ГОСТ Р ИСО 50001-2023</w:t>
      </w:r>
      <w:r>
        <w:t xml:space="preserve">.</w:t>
      </w:r>
      <w:r/>
    </w:p>
  </w:footnote>
  <w:footnote w:id="9">
    <w:p>
      <w:pPr>
        <w:pStyle w:val="1835"/>
        <w:ind w:firstLine="510"/>
      </w:pPr>
      <w:r>
        <w:rPr>
          <w:rStyle w:val="1825"/>
        </w:rPr>
        <w:t xml:space="preserve">1)</w:t>
      </w:r>
      <w:r>
        <w:t xml:space="preserve"> </w:t>
      </w:r>
      <w:r>
        <w:rPr>
          <w:rFonts w:ascii="Arial" w:hAnsi="Arial" w:cs="Arial" w:eastAsiaTheme="minorEastAsia"/>
        </w:rPr>
        <w:t xml:space="preserve">В Российской Федерации действуют стандарты ГОСТ Р 51901.1-2002,</w:t>
      </w:r>
      <w:r>
        <w:t xml:space="preserve"> </w:t>
      </w:r>
      <w:r>
        <w:rPr>
          <w:rFonts w:ascii="Arial" w:hAnsi="Arial" w:cs="Arial" w:eastAsiaTheme="minorEastAsia"/>
        </w:rPr>
        <w:t xml:space="preserve">ГОСТ Р МЭК 62198-2015, ГОСТ Р 27.012-2019.</w:t>
      </w:r>
      <w:r/>
    </w:p>
  </w:footnote>
  <w:footnote w:id="10">
    <w:p>
      <w:pPr>
        <w:ind w:firstLine="510"/>
        <w:jc w:val="both"/>
        <w:widowControl w:val="off"/>
        <w:rPr>
          <w:rFonts w:ascii="Arial" w:hAnsi="Arial" w:cs="Arial" w:eastAsiaTheme="minorEastAsia"/>
        </w:rPr>
      </w:pPr>
      <w:r>
        <w:rPr>
          <w:rStyle w:val="1825"/>
        </w:rPr>
        <w:t xml:space="preserve">1)</w:t>
      </w:r>
      <w:r>
        <w:t xml:space="preserve"> </w:t>
      </w:r>
      <w:r>
        <w:rPr>
          <w:rFonts w:ascii="Arial" w:hAnsi="Arial" w:cs="Arial" w:eastAsiaTheme="minorEastAsia"/>
        </w:rPr>
        <w:t xml:space="preserve">В Российской Федерации действует стандарт ГОСТ Р ИСО 19011-2021.</w:t>
      </w:r>
      <w:r>
        <w:rPr>
          <w:rFonts w:ascii="Arial" w:hAnsi="Arial" w:cs="Arial" w:eastAsiaTheme="minorEastAsia"/>
        </w:rPr>
      </w:r>
      <w:r>
        <w:rPr>
          <w:rFonts w:ascii="Arial" w:hAnsi="Arial" w:cs="Arial" w:eastAsiaTheme="minorEastAsia"/>
        </w:rPr>
      </w:r>
    </w:p>
    <w:p>
      <w:pPr>
        <w:pStyle w:val="1835"/>
      </w:pPr>
      <w:r/>
      <w:r/>
    </w:p>
  </w:footnote>
  <w:footnote w:id="11">
    <w:p>
      <w:pPr>
        <w:ind w:firstLine="510"/>
        <w:jc w:val="both"/>
        <w:rPr>
          <w:rFonts w:ascii="Arial" w:hAnsi="Arial" w:cs="Arial"/>
        </w:rPr>
      </w:pPr>
      <w:r>
        <w:rPr>
          <w:sz w:val="24"/>
          <w:vertAlign w:val="superscript"/>
        </w:rPr>
        <w:t xml:space="preserve">1)</w:t>
      </w:r>
      <w:r>
        <w:t xml:space="preserve"> </w:t>
      </w:r>
      <w:r>
        <w:rPr>
          <w:rFonts w:ascii="Arial" w:hAnsi="Arial" w:cs="Arial"/>
        </w:rPr>
        <w:t xml:space="preserve">В Российской Федерации действуют федеральные законы: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21.07.1997 № 116-ФЗ (в ред. от 08.08.2024) «О промышленной безопасности опасных производственных объектов»;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21.11.2011 № 323-ФЗ (ред. от 08.08.2024) «Об основах здоровья граждан в Российской Федерации»;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21.12.1994 № 69-ФЗ (ред. от 08.08.2024) «О пожарной безопасности»;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10.12.1995 №196-ФЗ (ред. от 08.08.2024) «О безопасности дорожного движения».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835"/>
      </w:pPr>
      <w:r/>
      <w:r/>
    </w:p>
  </w:footnote>
  <w:footnote w:id="12">
    <w:p>
      <w:pPr>
        <w:ind w:firstLine="510"/>
        <w:jc w:val="both"/>
        <w:rPr>
          <w:rFonts w:ascii="Arial" w:hAnsi="Arial" w:cs="Arial"/>
        </w:rPr>
      </w:pPr>
      <w:r>
        <w:rPr>
          <w:rStyle w:val="1825"/>
        </w:rPr>
        <w:footnoteRef/>
      </w:r>
      <w:r>
        <w:rPr>
          <w:sz w:val="24"/>
          <w:vertAlign w:val="superscript"/>
        </w:rPr>
        <w:t xml:space="preserve">)</w:t>
      </w:r>
      <w:r>
        <w:t xml:space="preserve"> </w:t>
      </w:r>
      <w:r>
        <w:rPr>
          <w:rFonts w:ascii="Arial" w:hAnsi="Arial" w:cs="Arial"/>
        </w:rPr>
        <w:t xml:space="preserve">В Российской Федерации действуют федеральные закон от 10.01.2002 № 7-ФЗ (ред. от 25.12.2023) «Об охране окружающей среды».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</w:footnote>
  <w:footnote w:id="13">
    <w:p>
      <w:pPr>
        <w:pStyle w:val="1835"/>
        <w:ind w:firstLine="510"/>
        <w:jc w:val="both"/>
      </w:pPr>
      <w:r>
        <w:rPr>
          <w:sz w:val="24"/>
          <w:vertAlign w:val="superscript"/>
        </w:rPr>
        <w:t xml:space="preserve"> </w:t>
      </w:r>
      <w:r>
        <w:rPr>
          <w:rStyle w:val="1825"/>
        </w:rPr>
        <w:footnoteRef/>
      </w:r>
      <w:r>
        <w:rPr>
          <w:sz w:val="24"/>
          <w:vertAlign w:val="superscript"/>
        </w:rPr>
        <w:t xml:space="preserve">)</w:t>
      </w:r>
      <w:r>
        <w:t xml:space="preserve"> </w:t>
      </w:r>
      <w:r>
        <w:rPr>
          <w:rFonts w:ascii="Arial" w:hAnsi="Arial" w:cs="Arial"/>
        </w:rPr>
        <w:t xml:space="preserve">В Российской Федерации указанные мероприятия выполняются в соответствии с Федеральным законом от 10.01.2002 № 7-ФЗ (ред. от 08.08.2024) «Об охране окружающей среды».</w:t>
      </w:r>
      <w:r/>
    </w:p>
  </w:footnote>
  <w:footnote w:id="14">
    <w:p>
      <w:pPr>
        <w:pStyle w:val="1835"/>
        <w:ind w:firstLine="510"/>
        <w:jc w:val="both"/>
      </w:pPr>
      <w:r>
        <w:rPr>
          <w:rStyle w:val="1825"/>
        </w:rPr>
        <w:t xml:space="preserve">1)</w:t>
      </w:r>
      <w:r>
        <w:t xml:space="preserve"> </w:t>
      </w:r>
      <w:r>
        <w:rPr>
          <w:rFonts w:ascii="Arial" w:hAnsi="Arial" w:cs="Arial"/>
        </w:rPr>
        <w:t xml:space="preserve">В Российской Федерации действует Федеральный закон от 10.01.2002 №7-ФЗ «Об охране окружающей среды».</w:t>
      </w:r>
      <w:r/>
    </w:p>
  </w:footnote>
  <w:footnote w:id="15">
    <w:p>
      <w:pPr>
        <w:pStyle w:val="1835"/>
        <w:ind w:firstLine="510"/>
        <w:jc w:val="both"/>
      </w:pPr>
      <w:r>
        <w:rPr>
          <w:rStyle w:val="1825"/>
        </w:rPr>
        <w:t xml:space="preserve">1)</w:t>
      </w:r>
      <w:r>
        <w:t xml:space="preserve"> </w:t>
      </w:r>
      <w:r>
        <w:rPr>
          <w:rFonts w:ascii="Arial" w:hAnsi="Arial" w:cs="Arial" w:eastAsiaTheme="minorEastAsia"/>
        </w:rPr>
        <w:t xml:space="preserve">В Российской Федерации идентификация и анализ опасностей, экологических аспектов осуществляется с учетом ГОСТ Р ИСО 14001-2016, ГОСТ Р ИСО 45001-2020.</w:t>
      </w:r>
      <w:r/>
    </w:p>
  </w:footnote>
  <w:footnote w:id="16">
    <w:p>
      <w:pPr>
        <w:pStyle w:val="1835"/>
        <w:ind w:firstLine="510"/>
        <w:jc w:val="both"/>
      </w:pPr>
      <w:r>
        <w:rPr>
          <w:sz w:val="24"/>
          <w:szCs w:val="24"/>
          <w:vertAlign w:val="superscript"/>
        </w:rPr>
        <w:t xml:space="preserve">1)</w:t>
      </w:r>
      <w:r>
        <w:t xml:space="preserve"> </w:t>
      </w:r>
      <w:r>
        <w:rPr>
          <w:rFonts w:ascii="Arial" w:hAnsi="Arial" w:cs="Arial" w:eastAsiaTheme="minorEastAsia"/>
        </w:rPr>
        <w:t xml:space="preserve">В Российской Федерации анализ воздействий на окружающую среду осуществляется с учетом требований </w:t>
      </w:r>
      <w:r>
        <w:rPr>
          <w:rFonts w:ascii="Arial" w:hAnsi="Arial" w:cs="Arial" w:eastAsiaTheme="minorEastAsia"/>
          <w:color w:val="000000" w:themeColor="text1"/>
        </w:rPr>
        <w:t xml:space="preserve">ГОСТ Р ИСО 14001-2016, ГОСТ P 14.03-2005</w:t>
      </w:r>
      <w:r>
        <w:rPr>
          <w:rFonts w:ascii="Arial" w:hAnsi="Arial" w:cs="Arial" w:eastAsiaTheme="minorEastAsia"/>
        </w:rP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center" w:pos="4677" w:leader="none"/>
        <w:tab w:val="right" w:pos="9355" w:leader="none"/>
      </w:tabs>
      <w:rPr>
        <w:rFonts w:ascii="Arial" w:hAnsi="Arial" w:cs="Arial"/>
        <w:bCs/>
        <w:i/>
        <w:sz w:val="24"/>
        <w:szCs w:val="24"/>
      </w:rPr>
    </w:pPr>
    <w:r>
      <w:rPr>
        <w:rFonts w:ascii="Arial" w:hAnsi="Arial" w:cs="Arial"/>
        <w:i/>
        <w:sz w:val="24"/>
      </w:rPr>
      <w:t xml:space="preserve">ГОСТ (проект RU, окончательная редакция)</w:t>
    </w:r>
    <w:r>
      <w:rPr>
        <w:rFonts w:ascii="Arial" w:hAnsi="Arial" w:cs="Arial"/>
        <w:bCs/>
        <w:i/>
        <w:sz w:val="24"/>
        <w:szCs w:val="24"/>
      </w:rPr>
    </w:r>
    <w:r>
      <w:rPr>
        <w:rFonts w:ascii="Arial" w:hAnsi="Arial" w:cs="Arial"/>
        <w:bCs/>
        <w:i/>
        <w:sz w:val="24"/>
        <w:szCs w:val="24"/>
      </w:rPr>
    </w:r>
  </w:p>
  <w:p>
    <w:pPr>
      <w:jc w:val="right"/>
      <w:tabs>
        <w:tab w:val="center" w:pos="4677" w:leader="none"/>
        <w:tab w:val="right" w:pos="9355" w:leader="none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677" w:leader="none"/>
        <w:tab w:val="right" w:pos="9355" w:leader="none"/>
      </w:tabs>
      <w:rPr>
        <w:rFonts w:ascii="Arial" w:hAnsi="Arial" w:cs="Arial"/>
        <w:i/>
        <w:sz w:val="24"/>
      </w:rPr>
    </w:pPr>
    <w:r>
      <w:rPr>
        <w:rFonts w:ascii="Arial" w:hAnsi="Arial" w:cs="Arial"/>
        <w:i/>
        <w:sz w:val="24"/>
      </w:rPr>
      <w:t xml:space="preserve">ГОСТ (проект RU, окончательная редакция)</w:t>
    </w:r>
    <w:r>
      <w:rPr>
        <w:rFonts w:ascii="Arial" w:hAnsi="Arial" w:cs="Arial"/>
        <w:i/>
        <w:sz w:val="24"/>
      </w:rPr>
    </w:r>
    <w:r>
      <w:rPr>
        <w:rFonts w:ascii="Arial" w:hAnsi="Arial" w:cs="Arial"/>
        <w:i/>
        <w:sz w:val="24"/>
      </w:rPr>
    </w:r>
  </w:p>
  <w:p>
    <w:pPr>
      <w:tabs>
        <w:tab w:val="center" w:pos="4677" w:leader="none"/>
        <w:tab w:val="right" w:pos="9355" w:leader="none"/>
      </w:tabs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59264" behindDoc="0" locked="0" layoutInCell="1" allowOverlap="1">
              <wp:simplePos x="0" y="0"/>
              <wp:positionH relativeFrom="column">
                <wp:posOffset>9404985</wp:posOffset>
              </wp:positionH>
              <wp:positionV relativeFrom="paragraph">
                <wp:posOffset>260350</wp:posOffset>
              </wp:positionV>
              <wp:extent cx="458932" cy="3420341"/>
              <wp:effectExtent l="0" t="0" r="0" b="0"/>
              <wp:wrapNone/>
              <wp:docPr id="4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58931" cy="3420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alpha val="99999"/>
                          </a:schemeClr>
                        </a:solidFill>
                        <a:prstDash val="solid"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677" w:leader="none"/>
                              <w:tab w:val="right" w:pos="9355" w:leader="none"/>
                            </w:tabs>
                          </w:pPr>
                          <w:r>
                            <w:rPr>
                              <w:rFonts w:ascii="Arial" w:hAnsi="Arial" w:cs="Arial"/>
                              <w:i/>
                              <w:sz w:val="24"/>
                            </w:rPr>
                            <w:t xml:space="preserve">ГОСТ (проект RU, окончательная редакция)</w:t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vertOverflow="overflow" horzOverflow="overflow" vert="vert" wrap="square" lIns="91440" tIns="45720" rIns="91440" bIns="45720" numCol="1" spcCol="0" rtlCol="0" fromWordArt="0" anchor="t" anchorCtr="0" forceAA="0" compatLnSpc="0"/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251659264;o:allowoverlap:true;o:allowincell:true;mso-position-horizontal-relative:text;margin-left:740.55pt;mso-position-horizontal:absolute;mso-position-vertical-relative:text;margin-top:20.50pt;mso-position-vertical:absolute;width:36.14pt;height:269.32pt;mso-wrap-distance-left:9.07pt;mso-wrap-distance-top:0.00pt;mso-wrap-distance-right:9.07pt;mso-wrap-distance-bottom:0.00pt;v-text-anchor:top;visibility:visible;" fillcolor="#FFFFFF" strokecolor="#FFFFFF" strokeweight="0.50pt">
              <v:stroke dashstyle="solid"/>
              <v:textbox inset="0,0,0,0">
                <w:txbxContent>
                  <w:p>
                    <w:pPr>
                      <w:tabs>
                        <w:tab w:val="center" w:pos="4677" w:leader="none"/>
                        <w:tab w:val="right" w:pos="9355" w:leader="none"/>
                      </w:tabs>
                    </w:pPr>
                    <w:r>
                      <w:rPr>
                        <w:rFonts w:ascii="Arial" w:hAnsi="Arial" w:cs="Arial"/>
                        <w:i/>
                        <w:sz w:val="24"/>
                      </w:rPr>
                      <w:t xml:space="preserve">ГОСТ (проект RU, окончательная редакция)</w:t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center" w:pos="4677" w:leader="none"/>
        <w:tab w:val="right" w:pos="9355" w:leader="none"/>
      </w:tabs>
      <w:rPr>
        <w:rFonts w:ascii="Arial" w:hAnsi="Arial" w:cs="Arial"/>
        <w:i/>
        <w:sz w:val="24"/>
      </w:rPr>
    </w:pPr>
    <w:r>
      <w:rPr>
        <w:rFonts w:ascii="Arial" w:hAnsi="Arial" w:cs="Arial"/>
        <w:i/>
        <w:sz w:val="24"/>
      </w:rPr>
      <w:t xml:space="preserve">ГОСТ (проект RU, окончательная редакция)</w:t>
    </w:r>
    <w:r>
      <w:rPr>
        <w:rFonts w:ascii="Arial" w:hAnsi="Arial" w:cs="Arial"/>
        <w:i/>
        <w:sz w:val="24"/>
      </w:rPr>
    </w:r>
    <w:r>
      <w:rPr>
        <w:rFonts w:ascii="Arial" w:hAnsi="Arial" w:cs="Arial"/>
        <w:i/>
        <w:sz w:val="24"/>
      </w:rPr>
    </w:r>
  </w:p>
  <w:p>
    <w:pPr>
      <w:jc w:val="right"/>
      <w:tabs>
        <w:tab w:val="center" w:pos="4677" w:leader="none"/>
        <w:tab w:val="right" w:pos="9355" w:leader="none"/>
      </w:tabs>
      <w:rPr>
        <w:rFonts w:ascii="Arial" w:hAnsi="Arial" w:cs="Arial"/>
        <w:bCs/>
        <w:i/>
        <w:sz w:val="24"/>
        <w:szCs w:val="24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61312" behindDoc="0" locked="0" layoutInCell="1" allowOverlap="1">
              <wp:simplePos x="0" y="0"/>
              <wp:positionH relativeFrom="column">
                <wp:posOffset>9251950</wp:posOffset>
              </wp:positionH>
              <wp:positionV relativeFrom="paragraph">
                <wp:posOffset>3018155</wp:posOffset>
              </wp:positionV>
              <wp:extent cx="381000" cy="3448050"/>
              <wp:effectExtent l="3175" t="3175" r="3175" b="3175"/>
              <wp:wrapNone/>
              <wp:docPr id="5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80999" cy="34480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  <a:prstDash val="solid"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677" w:leader="none"/>
                              <w:tab w:val="right" w:pos="9355" w:leader="none"/>
                            </w:tabs>
                            <w:rPr>
                              <w:rFonts w:ascii="Arial" w:hAnsi="Arial" w:cs="Arial"/>
                              <w:bCs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4"/>
                            </w:rPr>
                            <w:t xml:space="preserve">ГОСТ (проект RU, окончательная редакция)</w:t>
                          </w:r>
                          <w:r>
                            <w:rPr>
                              <w:rFonts w:ascii="Arial" w:hAnsi="Arial" w:cs="Arial"/>
                              <w:bCs/>
                              <w:i/>
                              <w:sz w:val="24"/>
                              <w:szCs w:val="24"/>
                            </w:rPr>
                          </w:r>
                          <w:r>
                            <w:rPr>
                              <w:rFonts w:ascii="Arial" w:hAnsi="Arial" w:cs="Arial"/>
                              <w:bCs/>
                              <w:i/>
                              <w:sz w:val="24"/>
                              <w:szCs w:val="24"/>
                            </w:rPr>
                          </w:r>
                        </w:p>
                        <w:p>
                          <w:r/>
                          <w:r/>
                        </w:p>
                      </w:txbxContent>
                    </wps:txbx>
                    <wps:bodyPr vertOverflow="overflow" horzOverflow="overflow" vert="vert" wrap="square" lIns="91440" tIns="45720" rIns="91440" bIns="45720" numCol="1" spcCol="0" rtlCol="0" fromWordArt="0" anchor="t" anchorCtr="0" forceAA="0" compatLnSpc="0"/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251661312;o:allowoverlap:true;o:allowincell:true;mso-position-horizontal-relative:text;margin-left:728.50pt;mso-position-horizontal:absolute;mso-position-vertical-relative:text;margin-top:237.65pt;mso-position-vertical:absolute;width:30.00pt;height:271.50pt;mso-wrap-distance-left:9.07pt;mso-wrap-distance-top:0.00pt;mso-wrap-distance-right:9.07pt;mso-wrap-distance-bottom:0.00pt;v-text-anchor:top;visibility:visible;" fillcolor="#FFFFFF" strokecolor="#FFFFFF" strokeweight="0.50pt">
              <v:stroke dashstyle="solid"/>
              <v:textbox inset="0,0,0,0">
                <w:txbxContent>
                  <w:p>
                    <w:pPr>
                      <w:tabs>
                        <w:tab w:val="center" w:pos="4677" w:leader="none"/>
                        <w:tab w:val="right" w:pos="9355" w:leader="none"/>
                      </w:tabs>
                      <w:rPr>
                        <w:rFonts w:ascii="Arial" w:hAnsi="Arial" w:cs="Arial"/>
                        <w:bCs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i/>
                        <w:sz w:val="24"/>
                      </w:rPr>
                      <w:t xml:space="preserve">ГОСТ (проект RU, окончательная редакция)</w:t>
                    </w:r>
                    <w:r>
                      <w:rPr>
                        <w:rFonts w:ascii="Arial" w:hAnsi="Arial" w:cs="Arial"/>
                        <w:bCs/>
                        <w:i/>
                        <w:sz w:val="24"/>
                        <w:szCs w:val="24"/>
                      </w:rPr>
                    </w:r>
                    <w:r>
                      <w:rPr>
                        <w:rFonts w:ascii="Arial" w:hAnsi="Arial" w:cs="Arial"/>
                        <w:bCs/>
                        <w:i/>
                        <w:sz w:val="24"/>
                        <w:szCs w:val="24"/>
                      </w:rPr>
                    </w:r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sz w:val="24"/>
        <w:szCs w:val="24"/>
      </w:rPr>
    </w:r>
    <w:r>
      <w:rPr>
        <w:rFonts w:ascii="Arial" w:hAnsi="Arial" w:cs="Arial"/>
        <w:bCs/>
        <w:i/>
        <w:sz w:val="24"/>
        <w:szCs w:val="24"/>
      </w:rPr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center" w:pos="4677" w:leader="none"/>
        <w:tab w:val="right" w:pos="9355" w:leader="none"/>
      </w:tabs>
    </w:pPr>
    <w:r>
      <w:rPr>
        <w:rFonts w:ascii="Arial" w:hAnsi="Arial" w:cs="Arial"/>
        <w:i/>
        <w:sz w:val="2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56192" behindDoc="1" locked="0" layoutInCell="1" allowOverlap="1">
              <wp:simplePos x="0" y="0"/>
              <wp:positionH relativeFrom="column">
                <wp:posOffset>-136532</wp:posOffset>
              </wp:positionH>
              <wp:positionV relativeFrom="paragraph">
                <wp:posOffset>212732</wp:posOffset>
              </wp:positionV>
              <wp:extent cx="425450" cy="1404620"/>
              <wp:effectExtent l="8890" t="0" r="2540" b="2540"/>
              <wp:wrapNone/>
              <wp:docPr id="6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 rot="5400000" flipH="1">
                        <a:off x="0" y="0"/>
                        <a:ext cx="425450" cy="2666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53</w:t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shape 5" o:spid="_x0000_s5" o:spt="202" type="#_x0000_t202" style="position:absolute;z-index:-251656192;o:allowoverlap:true;o:allowincell:true;mso-position-horizontal-relative:text;margin-left:-10.75pt;mso-position-horizontal:absolute;mso-position-vertical-relative:text;margin-top:16.75pt;mso-position-vertical:absolute;width:33.50pt;height:110.60pt;mso-wrap-distance-left:9.00pt;mso-wrap-distance-top:3.60pt;mso-wrap-distance-right:9.00pt;mso-wrap-distance-bottom:3.60pt;rotation:90;flip:x;v-text-anchor:top;visibility:visible;" fillcolor="#FFFFFF" stroked="f" strokeweight="0.75pt">
              <v:textbox inset="0,0,0,0">
                <w:txbxContent>
                  <w:p>
                    <w:pPr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4"/>
                      </w:rPr>
                      <w:instrText xml:space="preserve">PAGE   \* MERGEFORMAT</w:instrText>
                    </w:r>
                    <w:r>
                      <w:rPr>
                        <w:rFonts w:ascii="Arial" w:hAnsi="Arial" w:cs="Arial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4"/>
                      </w:rPr>
                      <w:t xml:space="preserve">53</w:t>
                    </w:r>
                    <w:r>
                      <w:rPr>
                        <w:rFonts w:ascii="Arial" w:hAnsi="Arial" w:cs="Arial"/>
                        <w:sz w:val="24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24"/>
                      </w:rPr>
                    </w:r>
                    <w:r>
                      <w:rPr>
                        <w:rFonts w:ascii="Arial" w:hAnsi="Arial" w:cs="Arial"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55168" behindDoc="1" locked="0" layoutInCell="1" allowOverlap="1">
              <wp:simplePos x="0" y="0"/>
              <wp:positionH relativeFrom="column">
                <wp:posOffset>7309802</wp:posOffset>
              </wp:positionH>
              <wp:positionV relativeFrom="paragraph">
                <wp:posOffset>1925592</wp:posOffset>
              </wp:positionV>
              <wp:extent cx="3884295" cy="1404620"/>
              <wp:effectExtent l="0" t="5397" r="0" b="0"/>
              <wp:wrapNone/>
              <wp:docPr id="7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 rot="5399976" flipH="1">
                        <a:off x="0" y="0"/>
                        <a:ext cx="3884295" cy="2666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Arial" w:hAnsi="Arial" w:cs="Arial"/>
                              <w:i/>
                              <w:sz w:val="24"/>
                            </w:rPr>
                            <w:t xml:space="preserve">ГОСТ (проект RU, окончательная редакция)</w:t>
                          </w:r>
                          <w:r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shape 6" o:spid="_x0000_s6" o:spt="202" type="#_x0000_t202" style="position:absolute;z-index:-251655168;o:allowoverlap:true;o:allowincell:true;mso-position-horizontal-relative:text;margin-left:575.57pt;mso-position-horizontal:absolute;mso-position-vertical-relative:text;margin-top:151.62pt;mso-position-vertical:absolute;width:305.85pt;height:110.60pt;mso-wrap-distance-left:9.00pt;mso-wrap-distance-top:3.60pt;mso-wrap-distance-right:9.00pt;mso-wrap-distance-bottom:3.60pt;rotation:89;flip:x;v-text-anchor:top;visibility:visible;" fillcolor="#FFFFFF" stroked="f" strokeweight="0.75pt">
              <v:textbox inset="0,0,0,0">
                <w:txbxContent>
                  <w:p>
                    <w:r>
                      <w:rPr>
                        <w:rFonts w:ascii="Arial" w:hAnsi="Arial" w:cs="Arial"/>
                        <w:i/>
                        <w:sz w:val="24"/>
                      </w:rPr>
                      <w:t xml:space="preserve">ГОСТ (проект RU, окончательная редакция)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i/>
        <w:sz w:val="24"/>
      </w:rPr>
      <w:t xml:space="preserve"> </w:t>
    </w:r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pPr>
      <w:tabs>
        <w:tab w:val="center" w:pos="4677" w:leader="none"/>
        <w:tab w:val="right" w:pos="9355" w:leader="none"/>
      </w:tabs>
      <w:rPr>
        <w:rFonts w:ascii="Arial" w:hAnsi="Arial" w:cs="Arial"/>
        <w:bCs/>
        <w:i/>
        <w:sz w:val="24"/>
        <w:szCs w:val="24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62336" behindDoc="0" locked="0" layoutInCell="1" allowOverlap="1">
              <wp:simplePos x="0" y="0"/>
              <wp:positionH relativeFrom="column">
                <wp:posOffset>9109075</wp:posOffset>
              </wp:positionH>
              <wp:positionV relativeFrom="paragraph">
                <wp:posOffset>3027907</wp:posOffset>
              </wp:positionV>
              <wp:extent cx="381000" cy="3448050"/>
              <wp:effectExtent l="0" t="0" r="0" b="0"/>
              <wp:wrapNone/>
              <wp:docPr id="8" name="Надпись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80998" cy="34480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  <a:prstDash val="solid"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677" w:leader="none"/>
                              <w:tab w:val="right" w:pos="9355" w:leader="none"/>
                            </w:tabs>
                            <w:rPr>
                              <w:rFonts w:ascii="Arial" w:hAnsi="Arial" w:cs="Arial"/>
                              <w:bCs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4"/>
                            </w:rPr>
                            <w:t xml:space="preserve">ГОСТ (проект RU, окончательная редакция)</w:t>
                          </w:r>
                          <w:r>
                            <w:rPr>
                              <w:rFonts w:ascii="Arial" w:hAnsi="Arial" w:cs="Arial"/>
                              <w:bCs/>
                              <w:i/>
                              <w:sz w:val="24"/>
                              <w:szCs w:val="24"/>
                            </w:rPr>
                          </w:r>
                          <w:r>
                            <w:rPr>
                              <w:rFonts w:ascii="Arial" w:hAnsi="Arial" w:cs="Arial"/>
                              <w:bCs/>
                              <w:i/>
                              <w:sz w:val="24"/>
                              <w:szCs w:val="24"/>
                            </w:rPr>
                          </w:r>
                        </w:p>
                        <w:p>
                          <w:r/>
                          <w:r/>
                        </w:p>
                      </w:txbxContent>
                    </wps:txbx>
                    <wps:bodyPr vertOverflow="overflow" horzOverflow="overflow" vert="vert" wrap="square" lIns="91440" tIns="45720" rIns="91440" bIns="45720" numCol="1" spcCol="0" rtlCol="0" fromWordArt="0" anchor="t" anchorCtr="0" forceAA="0" compatLnSpc="0"/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251662336;o:allowoverlap:true;o:allowincell:true;mso-position-horizontal-relative:text;margin-left:717.25pt;mso-position-horizontal:absolute;mso-position-vertical-relative:text;margin-top:238.42pt;mso-position-vertical:absolute;width:30.00pt;height:271.50pt;mso-wrap-distance-left:9.07pt;mso-wrap-distance-top:0.00pt;mso-wrap-distance-right:9.07pt;mso-wrap-distance-bottom:0.00pt;v-text-anchor:top;visibility:visible;" fillcolor="#FFFFFF" strokecolor="#FFFFFF" strokeweight="0.50pt">
              <v:stroke dashstyle="solid"/>
              <v:textbox inset="0,0,0,0">
                <w:txbxContent>
                  <w:p>
                    <w:pPr>
                      <w:tabs>
                        <w:tab w:val="center" w:pos="4677" w:leader="none"/>
                        <w:tab w:val="right" w:pos="9355" w:leader="none"/>
                      </w:tabs>
                      <w:rPr>
                        <w:rFonts w:ascii="Arial" w:hAnsi="Arial" w:cs="Arial"/>
                        <w:bCs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i/>
                        <w:sz w:val="24"/>
                      </w:rPr>
                      <w:t xml:space="preserve">ГОСТ (проект RU, окончательная редакция)</w:t>
                    </w:r>
                    <w:r>
                      <w:rPr>
                        <w:rFonts w:ascii="Arial" w:hAnsi="Arial" w:cs="Arial"/>
                        <w:bCs/>
                        <w:i/>
                        <w:sz w:val="24"/>
                        <w:szCs w:val="24"/>
                      </w:rPr>
                    </w:r>
                    <w:r>
                      <w:rPr>
                        <w:rFonts w:ascii="Arial" w:hAnsi="Arial" w:cs="Arial"/>
                        <w:bCs/>
                        <w:i/>
                        <w:sz w:val="24"/>
                        <w:szCs w:val="24"/>
                      </w:rPr>
                    </w:r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sz w:val="24"/>
        <w:szCs w:val="24"/>
      </w:rPr>
    </w:r>
    <w:r>
      <w:rPr>
        <w:rFonts w:ascii="Arial" w:hAnsi="Arial" w:cs="Arial"/>
        <w:bCs/>
        <w:i/>
        <w:sz w:val="24"/>
        <w:szCs w:val="24"/>
      </w:rPr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677" w:leader="none"/>
        <w:tab w:val="right" w:pos="9355" w:leader="none"/>
      </w:tabs>
      <w:rPr>
        <w:rFonts w:ascii="Arial" w:hAnsi="Arial" w:cs="Arial"/>
        <w:i/>
        <w:sz w:val="24"/>
      </w:rPr>
    </w:pPr>
    <w:r>
      <w:rPr>
        <w:rFonts w:ascii="Arial" w:hAnsi="Arial" w:cs="Arial"/>
        <w:i/>
        <w:sz w:val="24"/>
      </w:rPr>
      <w:t xml:space="preserve">ГОСТ (проект RU, окончательная редакция)</w:t>
    </w:r>
    <w:r>
      <w:rPr>
        <w:rFonts w:ascii="Arial" w:hAnsi="Arial" w:cs="Arial"/>
        <w:i/>
        <w:sz w:val="24"/>
      </w:rPr>
    </w:r>
    <w:r>
      <w:rPr>
        <w:rFonts w:ascii="Arial" w:hAnsi="Arial" w:cs="Arial"/>
        <w:i/>
        <w:sz w:val="24"/>
      </w:rPr>
    </w:r>
  </w:p>
  <w:p>
    <w:pPr>
      <w:tabs>
        <w:tab w:val="center" w:pos="4677" w:leader="none"/>
        <w:tab w:val="right" w:pos="9355" w:leader="none"/>
      </w:tabs>
      <w:rPr>
        <w:rFonts w:ascii="Arial" w:hAnsi="Arial" w:cs="Arial"/>
        <w:sz w:val="24"/>
      </w:rPr>
    </w:pPr>
    <w:r>
      <w:rPr>
        <w:rFonts w:ascii="Arial" w:hAnsi="Arial" w:cs="Arial"/>
        <w:sz w:val="24"/>
      </w:rPr>
    </w:r>
    <w:r>
      <w:rPr>
        <w:rFonts w:ascii="Arial" w:hAnsi="Arial" w:cs="Arial"/>
        <w:sz w:val="24"/>
      </w:rPr>
    </w:r>
    <w:r>
      <w:rPr>
        <w:rFonts w:ascii="Arial" w:hAnsi="Arial" w:cs="Arial"/>
        <w:sz w:val="24"/>
      </w:rPr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center" w:pos="4677" w:leader="none"/>
        <w:tab w:val="right" w:pos="9355" w:leader="none"/>
      </w:tabs>
      <w:rPr>
        <w:rFonts w:ascii="Arial" w:hAnsi="Arial" w:cs="Arial"/>
        <w:i/>
        <w:sz w:val="24"/>
      </w:rPr>
    </w:pPr>
    <w:r>
      <w:rPr>
        <w:rFonts w:ascii="Arial" w:hAnsi="Arial" w:cs="Arial"/>
        <w:i/>
        <w:sz w:val="24"/>
      </w:rPr>
      <w:t xml:space="preserve">ГОСТ (проект RU, окончательная редакция) </w:t>
    </w:r>
    <w:r>
      <w:rPr>
        <w:rFonts w:ascii="Arial" w:hAnsi="Arial" w:cs="Arial"/>
        <w:i/>
        <w:sz w:val="24"/>
      </w:rPr>
    </w:r>
    <w:r>
      <w:rPr>
        <w:rFonts w:ascii="Arial" w:hAnsi="Arial" w:cs="Arial"/>
        <w:i/>
        <w:sz w:val="24"/>
      </w:rPr>
    </w:r>
  </w:p>
  <w:p>
    <w:pPr>
      <w:tabs>
        <w:tab w:val="center" w:pos="4677" w:leader="none"/>
        <w:tab w:val="right" w:pos="9355" w:leader="none"/>
      </w:tabs>
      <w:rPr>
        <w:rFonts w:ascii="Arial" w:hAnsi="Arial" w:cs="Arial"/>
        <w:i/>
        <w:sz w:val="24"/>
      </w:rPr>
    </w:pPr>
    <w:r>
      <w:rPr>
        <w:rFonts w:ascii="Arial" w:hAnsi="Arial" w:cs="Arial"/>
        <w:i/>
        <w:sz w:val="24"/>
      </w:rPr>
    </w:r>
    <w:r>
      <w:rPr>
        <w:rFonts w:ascii="Arial" w:hAnsi="Arial" w:cs="Arial"/>
        <w:i/>
        <w:sz w:val="24"/>
      </w:rPr>
    </w:r>
    <w:r>
      <w:rPr>
        <w:rFonts w:ascii="Arial" w:hAnsi="Arial" w:cs="Arial"/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677" w:leader="none"/>
        <w:tab w:val="right" w:pos="9355" w:leader="none"/>
      </w:tabs>
      <w:rPr>
        <w:rFonts w:ascii="Arial" w:hAnsi="Arial" w:cs="Arial"/>
        <w:bCs/>
        <w:i/>
        <w:sz w:val="24"/>
        <w:szCs w:val="24"/>
      </w:rPr>
    </w:pPr>
    <w:r>
      <w:rPr>
        <w:rFonts w:ascii="Arial" w:hAnsi="Arial" w:cs="Arial"/>
        <w:i/>
        <w:sz w:val="24"/>
      </w:rPr>
      <w:t xml:space="preserve">ГОСТ (проект RU, окончательная редакция)</w:t>
    </w:r>
    <w:r>
      <w:rPr>
        <w:rFonts w:ascii="Arial" w:hAnsi="Arial" w:cs="Arial"/>
        <w:bCs/>
        <w:i/>
        <w:sz w:val="24"/>
        <w:szCs w:val="24"/>
      </w:rPr>
    </w:r>
    <w:r>
      <w:rPr>
        <w:rFonts w:ascii="Arial" w:hAnsi="Arial" w:cs="Arial"/>
        <w:bCs/>
        <w:i/>
        <w:sz w:val="24"/>
        <w:szCs w:val="24"/>
      </w:rPr>
    </w:r>
  </w:p>
  <w:p>
    <w:pPr>
      <w:tabs>
        <w:tab w:val="center" w:pos="4677" w:leader="none"/>
        <w:tab w:val="right" w:pos="9355" w:leader="none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677" w:leader="none"/>
        <w:tab w:val="left" w:pos="6664" w:leader="none"/>
        <w:tab w:val="right" w:pos="9355" w:leader="none"/>
      </w:tabs>
    </w:pPr>
    <w:r>
      <w:tab/>
    </w:r>
    <w:r>
      <w:tab/>
    </w:r>
    <w:r>
      <w:tab/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center" w:pos="4677" w:leader="none"/>
        <w:tab w:val="right" w:pos="9355" w:leader="none"/>
      </w:tabs>
      <w:rPr>
        <w:rFonts w:ascii="Arial" w:hAnsi="Arial" w:cs="Arial"/>
        <w:bCs/>
        <w:i/>
        <w:sz w:val="24"/>
        <w:szCs w:val="24"/>
      </w:rPr>
    </w:pPr>
    <w:r>
      <w:rPr>
        <w:rFonts w:ascii="Arial" w:hAnsi="Arial" w:cs="Arial"/>
        <w:i/>
        <w:sz w:val="24"/>
      </w:rPr>
      <w:t xml:space="preserve">ГОСТ (проект RU, окончательная редакция)</w:t>
    </w:r>
    <w:r>
      <w:rPr>
        <w:rFonts w:ascii="Arial" w:hAnsi="Arial" w:cs="Arial"/>
        <w:bCs/>
        <w:i/>
        <w:sz w:val="24"/>
        <w:szCs w:val="24"/>
      </w:rPr>
    </w:r>
    <w:r>
      <w:rPr>
        <w:rFonts w:ascii="Arial" w:hAnsi="Arial" w:cs="Arial"/>
        <w:bCs/>
        <w:i/>
        <w:sz w:val="24"/>
        <w:szCs w:val="24"/>
      </w:rPr>
    </w:r>
  </w:p>
  <w:p>
    <w:pPr>
      <w:tabs>
        <w:tab w:val="center" w:pos="4677" w:leader="none"/>
        <w:tab w:val="left" w:pos="6664" w:leader="none"/>
        <w:tab w:val="right" w:pos="9355" w:leader="none"/>
      </w:tabs>
      <w:rPr>
        <w:rFonts w:ascii="Arial" w:hAnsi="Arial" w:cs="Arial"/>
        <w:sz w:val="24"/>
        <w:szCs w:val="24"/>
      </w:rPr>
    </w:pPr>
    <w:r>
      <w:tab/>
    </w:r>
    <w:r>
      <w:tab/>
    </w:r>
    <w:r>
      <w:tab/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677" w:leader="none"/>
        <w:tab w:val="right" w:pos="9355" w:leader="none"/>
      </w:tabs>
      <w:rPr>
        <w:rFonts w:ascii="Arial" w:hAnsi="Arial" w:cs="Arial"/>
        <w:bCs/>
        <w:i/>
        <w:sz w:val="24"/>
        <w:szCs w:val="24"/>
      </w:rPr>
    </w:pPr>
    <w:r>
      <w:rPr>
        <w:rFonts w:ascii="Arial" w:hAnsi="Arial" w:cs="Arial"/>
        <w:i/>
        <w:sz w:val="24"/>
      </w:rPr>
      <w:t xml:space="preserve">ГОСТ (проект RU, окончательная редакция)</w:t>
    </w:r>
    <w:r>
      <w:rPr>
        <w:rFonts w:ascii="Arial" w:hAnsi="Arial" w:cs="Arial"/>
        <w:bCs/>
        <w:i/>
        <w:sz w:val="24"/>
        <w:szCs w:val="24"/>
      </w:rPr>
    </w:r>
    <w:r>
      <w:rPr>
        <w:rFonts w:ascii="Arial" w:hAnsi="Arial" w:cs="Arial"/>
        <w:bCs/>
        <w:i/>
        <w:sz w:val="24"/>
        <w:szCs w:val="24"/>
      </w:rPr>
    </w:r>
  </w:p>
  <w:p>
    <w:pPr>
      <w:tabs>
        <w:tab w:val="center" w:pos="4677" w:leader="none"/>
        <w:tab w:val="right" w:pos="9355" w:leader="none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677" w:leader="none"/>
        <w:tab w:val="right" w:pos="9355" w:leader="none"/>
      </w:tabs>
    </w:pPr>
    <w:r>
      <w:rPr>
        <w:rFonts w:ascii="Arial" w:hAnsi="Arial" w:cs="Arial"/>
        <w:i/>
        <w:sz w:val="24"/>
      </w:rPr>
      <w:t xml:space="preserve">ГОСТ (проект RU, окончательная редакция)</w:t>
    </w: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widowControl w:val="off"/>
      <w:tabs>
        <w:tab w:val="center" w:pos="4677" w:leader="none"/>
        <w:tab w:val="right" w:pos="9355" w:leader="none"/>
      </w:tabs>
    </w:pPr>
    <w:r>
      <w:rPr>
        <w:rFonts w:ascii="Arial" w:hAnsi="Arial" w:cs="Arial"/>
        <w:i/>
        <w:sz w:val="24"/>
      </w:rPr>
      <w:t xml:space="preserve">ГОСТ (проект RU, окончательная редакция)</w:t>
    </w:r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center" w:pos="4677" w:leader="none"/>
        <w:tab w:val="right" w:pos="9355" w:leader="none"/>
      </w:tabs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54144" behindDoc="1" locked="0" layoutInCell="1" allowOverlap="1">
              <wp:simplePos x="0" y="0"/>
              <wp:positionH relativeFrom="leftMargin">
                <wp:posOffset>304995</wp:posOffset>
              </wp:positionH>
              <wp:positionV relativeFrom="paragraph">
                <wp:posOffset>98605</wp:posOffset>
              </wp:positionV>
              <wp:extent cx="468630" cy="340092"/>
              <wp:effectExtent l="7302" t="11748" r="14923" b="14922"/>
              <wp:wrapNone/>
              <wp:docPr id="1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 rot="5399976" flipH="1">
                        <a:off x="0" y="0"/>
                        <a:ext cx="468630" cy="3400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19</w:t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shape 0" o:spid="_x0000_s0" o:spt="202" type="#_x0000_t202" style="position:absolute;z-index:-251654144;o:allowoverlap:true;o:allowincell:true;mso-position-horizontal-relative:left-margin-area;margin-left:24.02pt;mso-position-horizontal:absolute;mso-position-vertical-relative:text;margin-top:7.76pt;mso-position-vertical:absolute;width:36.90pt;height:26.78pt;mso-wrap-distance-left:9.00pt;mso-wrap-distance-top:3.60pt;mso-wrap-distance-right:9.00pt;mso-wrap-distance-bottom:3.60pt;rotation:89;flip:x;v-text-anchor:top;visibility:visible;" fillcolor="#FFFFFF" stroked="f" strokeweight="0.75pt">
              <v:textbox inset="0,0,0,0">
                <w:txbxContent>
                  <w:p>
                    <w:pPr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4"/>
                      </w:rPr>
                      <w:instrText xml:space="preserve">PAGE   \* MERGEFORMAT</w:instrText>
                    </w:r>
                    <w:r>
                      <w:rPr>
                        <w:rFonts w:ascii="Arial" w:hAnsi="Arial" w:cs="Arial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4"/>
                      </w:rPr>
                      <w:t xml:space="preserve">19</w:t>
                    </w:r>
                    <w:r>
                      <w:rPr>
                        <w:rFonts w:ascii="Arial" w:hAnsi="Arial" w:cs="Arial"/>
                        <w:sz w:val="24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24"/>
                      </w:rPr>
                    </w:r>
                    <w:r>
                      <w:rPr>
                        <w:rFonts w:ascii="Arial" w:hAnsi="Arial" w:cs="Arial"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58240" behindDoc="0" locked="0" layoutInCell="1" allowOverlap="1">
              <wp:simplePos x="0" y="0"/>
              <wp:positionH relativeFrom="column">
                <wp:posOffset>9404985</wp:posOffset>
              </wp:positionH>
              <wp:positionV relativeFrom="paragraph">
                <wp:posOffset>260350</wp:posOffset>
              </wp:positionV>
              <wp:extent cx="458932" cy="3420341"/>
              <wp:effectExtent l="0" t="0" r="0" b="0"/>
              <wp:wrapNone/>
              <wp:docPr id="2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58932" cy="34203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alpha val="99999"/>
                          </a:schemeClr>
                        </a:solidFill>
                        <a:prstDash val="solid"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677" w:leader="none"/>
                              <w:tab w:val="right" w:pos="9355" w:leader="none"/>
                            </w:tabs>
                          </w:pPr>
                          <w:r>
                            <w:rPr>
                              <w:rFonts w:ascii="Arial" w:hAnsi="Arial" w:cs="Arial"/>
                              <w:i/>
                              <w:sz w:val="24"/>
                            </w:rPr>
                            <w:t xml:space="preserve">ГОСТ (проект RU, окончательная редакция)</w:t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vertOverflow="overflow" horzOverflow="overflow" vert="vert" wrap="square" lIns="91440" tIns="45720" rIns="91440" bIns="45720" numCol="1" spcCol="0" rtlCol="0" fromWordArt="0" anchor="t" anchorCtr="0" forceAA="0" compatLnSpc="0"/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text;margin-left:740.55pt;mso-position-horizontal:absolute;mso-position-vertical-relative:text;margin-top:20.50pt;mso-position-vertical:absolute;width:36.14pt;height:269.32pt;mso-wrap-distance-left:9.07pt;mso-wrap-distance-top:0.00pt;mso-wrap-distance-right:9.07pt;mso-wrap-distance-bottom:0.00pt;v-text-anchor:top;visibility:visible;" fillcolor="#FFFFFF" strokecolor="#FFFFFF" strokeweight="0.50pt">
              <v:stroke dashstyle="solid"/>
              <v:textbox inset="0,0,0,0">
                <w:txbxContent>
                  <w:p>
                    <w:pPr>
                      <w:tabs>
                        <w:tab w:val="center" w:pos="4677" w:leader="none"/>
                        <w:tab w:val="right" w:pos="9355" w:leader="none"/>
                      </w:tabs>
                    </w:pPr>
                    <w:r>
                      <w:rPr>
                        <w:rFonts w:ascii="Arial" w:hAnsi="Arial" w:cs="Arial"/>
                        <w:i/>
                        <w:sz w:val="24"/>
                      </w:rPr>
                      <w:t xml:space="preserve">ГОСТ (проект RU, окончательная редакция)</w:t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57216" behindDoc="0" locked="0" layoutInCell="1" allowOverlap="1">
              <wp:simplePos x="0" y="0"/>
              <wp:positionH relativeFrom="column">
                <wp:posOffset>9403715</wp:posOffset>
              </wp:positionH>
              <wp:positionV relativeFrom="paragraph">
                <wp:posOffset>3089275</wp:posOffset>
              </wp:positionV>
              <wp:extent cx="458932" cy="3420341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58932" cy="34203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alpha val="99999"/>
                          </a:schemeClr>
                        </a:solidFill>
                        <a:prstDash val="solid"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677" w:leader="none"/>
                              <w:tab w:val="right" w:pos="9355" w:leader="none"/>
                            </w:tabs>
                          </w:pPr>
                          <w:r>
                            <w:rPr>
                              <w:rFonts w:ascii="Arial" w:hAnsi="Arial" w:cs="Arial"/>
                              <w:i/>
                              <w:sz w:val="24"/>
                            </w:rPr>
                            <w:t xml:space="preserve">ГОСТ (проект RU, окончательная редакция)</w:t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vertOverflow="overflow" horzOverflow="overflow" vert="vert" wrap="square" lIns="91440" tIns="45720" rIns="91440" bIns="45720" numCol="1" spcCol="0" rtlCol="0" fromWordArt="0" anchor="t" anchorCtr="0" forceAA="0" compatLnSpc="0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251657216;o:allowoverlap:true;o:allowincell:true;mso-position-horizontal-relative:text;margin-left:740.45pt;mso-position-horizontal:absolute;mso-position-vertical-relative:text;margin-top:243.25pt;mso-position-vertical:absolute;width:36.14pt;height:269.32pt;mso-wrap-distance-left:9.07pt;mso-wrap-distance-top:0.00pt;mso-wrap-distance-right:9.07pt;mso-wrap-distance-bottom:0.00pt;v-text-anchor:top;visibility:visible;" fillcolor="#FFFFFF" strokecolor="#FFFFFF" strokeweight="0.50pt">
              <v:stroke dashstyle="solid"/>
              <v:textbox inset="0,0,0,0">
                <w:txbxContent>
                  <w:p>
                    <w:pPr>
                      <w:tabs>
                        <w:tab w:val="center" w:pos="4677" w:leader="none"/>
                        <w:tab w:val="right" w:pos="9355" w:leader="none"/>
                      </w:tabs>
                    </w:pPr>
                    <w:r>
                      <w:rPr>
                        <w:rFonts w:ascii="Arial" w:hAnsi="Arial" w:cs="Arial"/>
                        <w:i/>
                        <w:sz w:val="24"/>
                      </w:rPr>
                      <w:t xml:space="preserve">ГОСТ (проект RU, окончательная редакция)</w:t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9" w:hanging="180"/>
      </w:pPr>
    </w:lvl>
  </w:abstractNum>
  <w:abstractNum w:abstractNumId="2">
    <w:multiLevelType w:val="hybridMultilevel"/>
    <w:lvl w:ilvl="0">
      <w:start w:val="1"/>
      <w:numFmt w:val="bullet"/>
      <w:pStyle w:val="1840"/>
      <w:isLgl w:val="false"/>
      <w:suff w:val="tab"/>
      <w:lvlText w:val=""/>
      <w:lvlJc w:val="left"/>
      <w:pPr>
        <w:ind w:left="360" w:hanging="360"/>
        <w:tabs>
          <w:tab w:val="left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evenAndOddHeaders w:val="true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646" w:default="1">
    <w:name w:val="Normal"/>
    <w:qFormat/>
  </w:style>
  <w:style w:type="paragraph" w:styleId="1647">
    <w:name w:val="Heading 1"/>
    <w:basedOn w:val="1646"/>
    <w:next w:val="1646"/>
    <w:link w:val="1865"/>
    <w:uiPriority w:val="9"/>
    <w:qFormat/>
    <w:pPr>
      <w:ind w:firstLine="510"/>
      <w:jc w:val="both"/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1648">
    <w:name w:val="Heading 2"/>
    <w:basedOn w:val="1646"/>
    <w:next w:val="1646"/>
    <w:link w:val="1867"/>
    <w:uiPriority w:val="9"/>
    <w:unhideWhenUsed/>
    <w:qFormat/>
    <w:pPr>
      <w:ind w:firstLine="510"/>
      <w:jc w:val="both"/>
      <w:spacing w:line="360" w:lineRule="auto"/>
      <w:widowControl w:val="off"/>
      <w:outlineLvl w:val="1"/>
    </w:pPr>
    <w:rPr>
      <w:rFonts w:ascii="Arial" w:hAnsi="Arial" w:cs="Arial" w:eastAsiaTheme="minorEastAsia"/>
      <w:b/>
      <w:sz w:val="24"/>
      <w:szCs w:val="24"/>
    </w:rPr>
  </w:style>
  <w:style w:type="paragraph" w:styleId="1649">
    <w:name w:val="Heading 3"/>
    <w:basedOn w:val="1646"/>
    <w:next w:val="1646"/>
    <w:link w:val="1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650">
    <w:name w:val="Heading 4"/>
    <w:basedOn w:val="1646"/>
    <w:next w:val="1646"/>
    <w:link w:val="1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651">
    <w:name w:val="Heading 5"/>
    <w:basedOn w:val="1646"/>
    <w:next w:val="1646"/>
    <w:link w:val="1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652">
    <w:name w:val="Heading 6"/>
    <w:basedOn w:val="1646"/>
    <w:next w:val="1646"/>
    <w:link w:val="1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653">
    <w:name w:val="Heading 7"/>
    <w:basedOn w:val="1646"/>
    <w:next w:val="1646"/>
    <w:link w:val="1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654">
    <w:name w:val="Heading 8"/>
    <w:basedOn w:val="1646"/>
    <w:next w:val="1646"/>
    <w:link w:val="1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655">
    <w:name w:val="Heading 9"/>
    <w:basedOn w:val="1646"/>
    <w:next w:val="1646"/>
    <w:link w:val="1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56" w:default="1">
    <w:name w:val="Default Paragraph Font"/>
    <w:uiPriority w:val="1"/>
    <w:semiHidden/>
    <w:unhideWhenUsed/>
  </w:style>
  <w:style w:type="table" w:styleId="1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658" w:default="1">
    <w:name w:val="No List"/>
    <w:uiPriority w:val="99"/>
    <w:semiHidden/>
    <w:unhideWhenUsed/>
  </w:style>
  <w:style w:type="character" w:styleId="1659" w:customStyle="1">
    <w:name w:val="Heading 3 Char"/>
    <w:basedOn w:val="1656"/>
    <w:uiPriority w:val="9"/>
    <w:rPr>
      <w:rFonts w:ascii="Arial" w:hAnsi="Arial" w:eastAsia="Arial" w:cs="Arial"/>
      <w:sz w:val="30"/>
      <w:szCs w:val="30"/>
    </w:rPr>
  </w:style>
  <w:style w:type="character" w:styleId="1660" w:customStyle="1">
    <w:name w:val="Heading 4 Char"/>
    <w:basedOn w:val="1656"/>
    <w:uiPriority w:val="9"/>
    <w:rPr>
      <w:rFonts w:ascii="Arial" w:hAnsi="Arial" w:eastAsia="Arial" w:cs="Arial"/>
      <w:b/>
      <w:bCs/>
      <w:sz w:val="26"/>
      <w:szCs w:val="26"/>
    </w:rPr>
  </w:style>
  <w:style w:type="character" w:styleId="1661" w:customStyle="1">
    <w:name w:val="Heading 5 Char"/>
    <w:basedOn w:val="1656"/>
    <w:uiPriority w:val="9"/>
    <w:rPr>
      <w:rFonts w:ascii="Arial" w:hAnsi="Arial" w:eastAsia="Arial" w:cs="Arial"/>
      <w:b/>
      <w:bCs/>
      <w:sz w:val="24"/>
      <w:szCs w:val="24"/>
    </w:rPr>
  </w:style>
  <w:style w:type="character" w:styleId="1662" w:customStyle="1">
    <w:name w:val="Heading 6 Char"/>
    <w:basedOn w:val="1656"/>
    <w:uiPriority w:val="9"/>
    <w:rPr>
      <w:rFonts w:ascii="Arial" w:hAnsi="Arial" w:eastAsia="Arial" w:cs="Arial"/>
      <w:b/>
      <w:bCs/>
      <w:sz w:val="22"/>
      <w:szCs w:val="22"/>
    </w:rPr>
  </w:style>
  <w:style w:type="character" w:styleId="1663" w:customStyle="1">
    <w:name w:val="Heading 7 Char"/>
    <w:basedOn w:val="1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664" w:customStyle="1">
    <w:name w:val="Heading 8 Char"/>
    <w:basedOn w:val="1656"/>
    <w:uiPriority w:val="9"/>
    <w:rPr>
      <w:rFonts w:ascii="Arial" w:hAnsi="Arial" w:eastAsia="Arial" w:cs="Arial"/>
      <w:i/>
      <w:iCs/>
      <w:sz w:val="22"/>
      <w:szCs w:val="22"/>
    </w:rPr>
  </w:style>
  <w:style w:type="character" w:styleId="1665" w:customStyle="1">
    <w:name w:val="Heading 9 Char"/>
    <w:basedOn w:val="1656"/>
    <w:uiPriority w:val="9"/>
    <w:rPr>
      <w:rFonts w:ascii="Arial" w:hAnsi="Arial" w:eastAsia="Arial" w:cs="Arial"/>
      <w:i/>
      <w:iCs/>
      <w:sz w:val="21"/>
      <w:szCs w:val="21"/>
    </w:rPr>
  </w:style>
  <w:style w:type="character" w:styleId="1666" w:customStyle="1">
    <w:name w:val="Title Char"/>
    <w:basedOn w:val="1656"/>
    <w:uiPriority w:val="10"/>
    <w:rPr>
      <w:sz w:val="48"/>
      <w:szCs w:val="48"/>
    </w:rPr>
  </w:style>
  <w:style w:type="character" w:styleId="1667" w:customStyle="1">
    <w:name w:val="Subtitle Char"/>
    <w:basedOn w:val="1656"/>
    <w:uiPriority w:val="11"/>
    <w:rPr>
      <w:sz w:val="24"/>
      <w:szCs w:val="24"/>
    </w:rPr>
  </w:style>
  <w:style w:type="character" w:styleId="1668" w:customStyle="1">
    <w:name w:val="Quote Char"/>
    <w:uiPriority w:val="29"/>
    <w:rPr>
      <w:i/>
    </w:rPr>
  </w:style>
  <w:style w:type="character" w:styleId="1669" w:customStyle="1">
    <w:name w:val="Intense Quote Char"/>
    <w:uiPriority w:val="30"/>
    <w:rPr>
      <w:i/>
    </w:rPr>
  </w:style>
  <w:style w:type="character" w:styleId="1670" w:customStyle="1">
    <w:name w:val="Heading 1 Char"/>
    <w:basedOn w:val="1656"/>
    <w:uiPriority w:val="9"/>
    <w:rPr>
      <w:rFonts w:ascii="Arial" w:hAnsi="Arial" w:eastAsia="Arial" w:cs="Arial"/>
      <w:sz w:val="40"/>
      <w:szCs w:val="40"/>
    </w:rPr>
  </w:style>
  <w:style w:type="character" w:styleId="1671" w:customStyle="1">
    <w:name w:val="Heading 2 Char"/>
    <w:basedOn w:val="1656"/>
    <w:uiPriority w:val="9"/>
    <w:rPr>
      <w:rFonts w:ascii="Arial" w:hAnsi="Arial" w:eastAsia="Arial" w:cs="Arial"/>
      <w:sz w:val="34"/>
    </w:rPr>
  </w:style>
  <w:style w:type="character" w:styleId="1672" w:customStyle="1">
    <w:name w:val="Заголовок 3 Знак"/>
    <w:basedOn w:val="1656"/>
    <w:link w:val="1649"/>
    <w:uiPriority w:val="9"/>
    <w:rPr>
      <w:rFonts w:ascii="Arial" w:hAnsi="Arial" w:eastAsia="Arial" w:cs="Arial"/>
      <w:sz w:val="30"/>
      <w:szCs w:val="30"/>
    </w:rPr>
  </w:style>
  <w:style w:type="character" w:styleId="1673" w:customStyle="1">
    <w:name w:val="Заголовок 4 Знак"/>
    <w:basedOn w:val="1656"/>
    <w:link w:val="1650"/>
    <w:uiPriority w:val="9"/>
    <w:rPr>
      <w:rFonts w:ascii="Arial" w:hAnsi="Arial" w:eastAsia="Arial" w:cs="Arial"/>
      <w:b/>
      <w:bCs/>
      <w:sz w:val="26"/>
      <w:szCs w:val="26"/>
    </w:rPr>
  </w:style>
  <w:style w:type="character" w:styleId="1674" w:customStyle="1">
    <w:name w:val="Заголовок 5 Знак"/>
    <w:basedOn w:val="1656"/>
    <w:link w:val="1651"/>
    <w:uiPriority w:val="9"/>
    <w:rPr>
      <w:rFonts w:ascii="Arial" w:hAnsi="Arial" w:eastAsia="Arial" w:cs="Arial"/>
      <w:b/>
      <w:bCs/>
      <w:sz w:val="24"/>
      <w:szCs w:val="24"/>
    </w:rPr>
  </w:style>
  <w:style w:type="character" w:styleId="1675" w:customStyle="1">
    <w:name w:val="Заголовок 6 Знак"/>
    <w:basedOn w:val="1656"/>
    <w:link w:val="1652"/>
    <w:uiPriority w:val="9"/>
    <w:rPr>
      <w:rFonts w:ascii="Arial" w:hAnsi="Arial" w:eastAsia="Arial" w:cs="Arial"/>
      <w:b/>
      <w:bCs/>
      <w:sz w:val="22"/>
      <w:szCs w:val="22"/>
    </w:rPr>
  </w:style>
  <w:style w:type="character" w:styleId="1676" w:customStyle="1">
    <w:name w:val="Заголовок 7 Знак"/>
    <w:basedOn w:val="1656"/>
    <w:link w:val="16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677" w:customStyle="1">
    <w:name w:val="Заголовок 8 Знак"/>
    <w:basedOn w:val="1656"/>
    <w:link w:val="1654"/>
    <w:uiPriority w:val="9"/>
    <w:rPr>
      <w:rFonts w:ascii="Arial" w:hAnsi="Arial" w:eastAsia="Arial" w:cs="Arial"/>
      <w:i/>
      <w:iCs/>
      <w:sz w:val="22"/>
      <w:szCs w:val="22"/>
    </w:rPr>
  </w:style>
  <w:style w:type="character" w:styleId="1678" w:customStyle="1">
    <w:name w:val="Заголовок 9 Знак"/>
    <w:basedOn w:val="1656"/>
    <w:link w:val="1655"/>
    <w:uiPriority w:val="9"/>
    <w:rPr>
      <w:rFonts w:ascii="Arial" w:hAnsi="Arial" w:eastAsia="Arial" w:cs="Arial"/>
      <w:i/>
      <w:iCs/>
      <w:sz w:val="21"/>
      <w:szCs w:val="21"/>
    </w:rPr>
  </w:style>
  <w:style w:type="paragraph" w:styleId="1679">
    <w:name w:val="Title"/>
    <w:basedOn w:val="1646"/>
    <w:next w:val="1646"/>
    <w:link w:val="1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680" w:customStyle="1">
    <w:name w:val="Название Знак"/>
    <w:basedOn w:val="1656"/>
    <w:link w:val="1679"/>
    <w:uiPriority w:val="10"/>
    <w:rPr>
      <w:sz w:val="48"/>
      <w:szCs w:val="48"/>
    </w:rPr>
  </w:style>
  <w:style w:type="paragraph" w:styleId="1681">
    <w:name w:val="Subtitle"/>
    <w:basedOn w:val="1646"/>
    <w:next w:val="1646"/>
    <w:link w:val="1682"/>
    <w:uiPriority w:val="11"/>
    <w:qFormat/>
    <w:pPr>
      <w:spacing w:before="200" w:after="200"/>
    </w:pPr>
    <w:rPr>
      <w:sz w:val="24"/>
      <w:szCs w:val="24"/>
    </w:rPr>
  </w:style>
  <w:style w:type="character" w:styleId="1682" w:customStyle="1">
    <w:name w:val="Подзаголовок Знак"/>
    <w:basedOn w:val="1656"/>
    <w:link w:val="1681"/>
    <w:uiPriority w:val="11"/>
    <w:rPr>
      <w:sz w:val="24"/>
      <w:szCs w:val="24"/>
    </w:rPr>
  </w:style>
  <w:style w:type="paragraph" w:styleId="1683">
    <w:name w:val="Quote"/>
    <w:basedOn w:val="1646"/>
    <w:next w:val="1646"/>
    <w:link w:val="1684"/>
    <w:uiPriority w:val="29"/>
    <w:qFormat/>
    <w:pPr>
      <w:ind w:left="720" w:right="720"/>
    </w:pPr>
    <w:rPr>
      <w:i/>
    </w:rPr>
  </w:style>
  <w:style w:type="character" w:styleId="1684" w:customStyle="1">
    <w:name w:val="Цитата 2 Знак"/>
    <w:link w:val="1683"/>
    <w:uiPriority w:val="29"/>
    <w:rPr>
      <w:i/>
    </w:rPr>
  </w:style>
  <w:style w:type="paragraph" w:styleId="1685">
    <w:name w:val="Intense Quote"/>
    <w:basedOn w:val="1646"/>
    <w:next w:val="1646"/>
    <w:link w:val="1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686" w:customStyle="1">
    <w:name w:val="Выделенная цитата Знак"/>
    <w:link w:val="1685"/>
    <w:uiPriority w:val="30"/>
    <w:rPr>
      <w:i/>
    </w:rPr>
  </w:style>
  <w:style w:type="character" w:styleId="1687" w:customStyle="1">
    <w:name w:val="Header Char"/>
    <w:basedOn w:val="1656"/>
    <w:uiPriority w:val="99"/>
  </w:style>
  <w:style w:type="character" w:styleId="1688" w:customStyle="1">
    <w:name w:val="Footer Char"/>
    <w:basedOn w:val="1656"/>
    <w:uiPriority w:val="99"/>
  </w:style>
  <w:style w:type="character" w:styleId="1689" w:customStyle="1">
    <w:name w:val="Caption Char"/>
    <w:uiPriority w:val="99"/>
  </w:style>
  <w:style w:type="table" w:styleId="1690" w:customStyle="1">
    <w:name w:val="Table Grid Light"/>
    <w:basedOn w:val="165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691">
    <w:name w:val="Plain Table 1"/>
    <w:basedOn w:val="165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92">
    <w:name w:val="Plain Table 2"/>
    <w:basedOn w:val="165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93">
    <w:name w:val="Plain Table 3"/>
    <w:basedOn w:val="165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94">
    <w:name w:val="Plain Table 4"/>
    <w:basedOn w:val="165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5">
    <w:name w:val="Plain Table 5"/>
    <w:basedOn w:val="165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96">
    <w:name w:val="Grid Table 1 Light"/>
    <w:basedOn w:val="165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7" w:customStyle="1">
    <w:name w:val="Grid Table 1 Light - Accent 1"/>
    <w:basedOn w:val="165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8" w:customStyle="1">
    <w:name w:val="Grid Table 1 Light - Accent 2"/>
    <w:basedOn w:val="165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9" w:customStyle="1">
    <w:name w:val="Grid Table 1 Light - Accent 3"/>
    <w:basedOn w:val="165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0" w:customStyle="1">
    <w:name w:val="Grid Table 1 Light - Accent 4"/>
    <w:basedOn w:val="165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1" w:customStyle="1">
    <w:name w:val="Grid Table 1 Light - Accent 5"/>
    <w:basedOn w:val="165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2" w:customStyle="1">
    <w:name w:val="Grid Table 1 Light - Accent 6"/>
    <w:basedOn w:val="165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3">
    <w:name w:val="Grid Table 2"/>
    <w:basedOn w:val="165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4" w:customStyle="1">
    <w:name w:val="Grid Table 2 - Accent 1"/>
    <w:basedOn w:val="165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5" w:customStyle="1">
    <w:name w:val="Grid Table 2 - Accent 2"/>
    <w:basedOn w:val="165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6" w:customStyle="1">
    <w:name w:val="Grid Table 2 - Accent 3"/>
    <w:basedOn w:val="165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7" w:customStyle="1">
    <w:name w:val="Grid Table 2 - Accent 4"/>
    <w:basedOn w:val="165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8" w:customStyle="1">
    <w:name w:val="Grid Table 2 - Accent 5"/>
    <w:basedOn w:val="165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9" w:customStyle="1">
    <w:name w:val="Grid Table 2 - Accent 6"/>
    <w:basedOn w:val="165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0">
    <w:name w:val="Grid Table 3"/>
    <w:basedOn w:val="165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1" w:customStyle="1">
    <w:name w:val="Grid Table 3 - Accent 1"/>
    <w:basedOn w:val="165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2" w:customStyle="1">
    <w:name w:val="Grid Table 3 - Accent 2"/>
    <w:basedOn w:val="165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3" w:customStyle="1">
    <w:name w:val="Grid Table 3 - Accent 3"/>
    <w:basedOn w:val="165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4" w:customStyle="1">
    <w:name w:val="Grid Table 3 - Accent 4"/>
    <w:basedOn w:val="165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5" w:customStyle="1">
    <w:name w:val="Grid Table 3 - Accent 5"/>
    <w:basedOn w:val="165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6" w:customStyle="1">
    <w:name w:val="Grid Table 3 - Accent 6"/>
    <w:basedOn w:val="165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7">
    <w:name w:val="Grid Table 4"/>
    <w:basedOn w:val="165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718" w:customStyle="1">
    <w:name w:val="Grid Table 4 - Accent 1"/>
    <w:basedOn w:val="165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719" w:customStyle="1">
    <w:name w:val="Grid Table 4 - Accent 2"/>
    <w:basedOn w:val="165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720" w:customStyle="1">
    <w:name w:val="Grid Table 4 - Accent 3"/>
    <w:basedOn w:val="165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721" w:customStyle="1">
    <w:name w:val="Grid Table 4 - Accent 4"/>
    <w:basedOn w:val="165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722" w:customStyle="1">
    <w:name w:val="Grid Table 4 - Accent 5"/>
    <w:basedOn w:val="165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723" w:customStyle="1">
    <w:name w:val="Grid Table 4 - Accent 6"/>
    <w:basedOn w:val="165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724">
    <w:name w:val="Grid Table 5 Dark"/>
    <w:basedOn w:val="165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725" w:customStyle="1">
    <w:name w:val="Grid Table 5 Dark- Accent 1"/>
    <w:basedOn w:val="165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726" w:customStyle="1">
    <w:name w:val="Grid Table 5 Dark - Accent 2"/>
    <w:basedOn w:val="165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727" w:customStyle="1">
    <w:name w:val="Grid Table 5 Dark - Accent 3"/>
    <w:basedOn w:val="165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728" w:customStyle="1">
    <w:name w:val="Grid Table 5 Dark- Accent 4"/>
    <w:basedOn w:val="165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729" w:customStyle="1">
    <w:name w:val="Grid Table 5 Dark - Accent 5"/>
    <w:basedOn w:val="165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730" w:customStyle="1">
    <w:name w:val="Grid Table 5 Dark - Accent 6"/>
    <w:basedOn w:val="165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731">
    <w:name w:val="Grid Table 6 Colorful"/>
    <w:basedOn w:val="165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732" w:customStyle="1">
    <w:name w:val="Grid Table 6 Colorful - Accent 1"/>
    <w:basedOn w:val="165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733" w:customStyle="1">
    <w:name w:val="Grid Table 6 Colorful - Accent 2"/>
    <w:basedOn w:val="165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734" w:customStyle="1">
    <w:name w:val="Grid Table 6 Colorful - Accent 3"/>
    <w:basedOn w:val="165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735" w:customStyle="1">
    <w:name w:val="Grid Table 6 Colorful - Accent 4"/>
    <w:basedOn w:val="165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736" w:customStyle="1">
    <w:name w:val="Grid Table 6 Colorful - Accent 5"/>
    <w:basedOn w:val="165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737" w:customStyle="1">
    <w:name w:val="Grid Table 6 Colorful - Accent 6"/>
    <w:basedOn w:val="165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738">
    <w:name w:val="Grid Table 7 Colorful"/>
    <w:basedOn w:val="165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39" w:customStyle="1">
    <w:name w:val="Grid Table 7 Colorful - Accent 1"/>
    <w:basedOn w:val="165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0" w:customStyle="1">
    <w:name w:val="Grid Table 7 Colorful - Accent 2"/>
    <w:basedOn w:val="165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1" w:customStyle="1">
    <w:name w:val="Grid Table 7 Colorful - Accent 3"/>
    <w:basedOn w:val="165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2" w:customStyle="1">
    <w:name w:val="Grid Table 7 Colorful - Accent 4"/>
    <w:basedOn w:val="165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3" w:customStyle="1">
    <w:name w:val="Grid Table 7 Colorful - Accent 5"/>
    <w:basedOn w:val="165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4" w:customStyle="1">
    <w:name w:val="Grid Table 7 Colorful - Accent 6"/>
    <w:basedOn w:val="165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5">
    <w:name w:val="List Table 1 Light"/>
    <w:basedOn w:val="165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6" w:customStyle="1">
    <w:name w:val="List Table 1 Light - Accent 1"/>
    <w:basedOn w:val="165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7" w:customStyle="1">
    <w:name w:val="List Table 1 Light - Accent 2"/>
    <w:basedOn w:val="165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8" w:customStyle="1">
    <w:name w:val="List Table 1 Light - Accent 3"/>
    <w:basedOn w:val="165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9" w:customStyle="1">
    <w:name w:val="List Table 1 Light - Accent 4"/>
    <w:basedOn w:val="165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50" w:customStyle="1">
    <w:name w:val="List Table 1 Light - Accent 5"/>
    <w:basedOn w:val="165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51" w:customStyle="1">
    <w:name w:val="List Table 1 Light - Accent 6"/>
    <w:basedOn w:val="165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52">
    <w:name w:val="List Table 2"/>
    <w:basedOn w:val="165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753" w:customStyle="1">
    <w:name w:val="List Table 2 - Accent 1"/>
    <w:basedOn w:val="165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754" w:customStyle="1">
    <w:name w:val="List Table 2 - Accent 2"/>
    <w:basedOn w:val="165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755" w:customStyle="1">
    <w:name w:val="List Table 2 - Accent 3"/>
    <w:basedOn w:val="165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756" w:customStyle="1">
    <w:name w:val="List Table 2 - Accent 4"/>
    <w:basedOn w:val="165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757" w:customStyle="1">
    <w:name w:val="List Table 2 - Accent 5"/>
    <w:basedOn w:val="165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758" w:customStyle="1">
    <w:name w:val="List Table 2 - Accent 6"/>
    <w:basedOn w:val="165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759">
    <w:name w:val="List Table 3"/>
    <w:basedOn w:val="165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0" w:customStyle="1">
    <w:name w:val="List Table 3 - Accent 1"/>
    <w:basedOn w:val="165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1" w:customStyle="1">
    <w:name w:val="List Table 3 - Accent 2"/>
    <w:basedOn w:val="165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2" w:customStyle="1">
    <w:name w:val="List Table 3 - Accent 3"/>
    <w:basedOn w:val="165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3" w:customStyle="1">
    <w:name w:val="List Table 3 - Accent 4"/>
    <w:basedOn w:val="165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4" w:customStyle="1">
    <w:name w:val="List Table 3 - Accent 5"/>
    <w:basedOn w:val="165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5" w:customStyle="1">
    <w:name w:val="List Table 3 - Accent 6"/>
    <w:basedOn w:val="165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6">
    <w:name w:val="List Table 4"/>
    <w:basedOn w:val="165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7" w:customStyle="1">
    <w:name w:val="List Table 4 - Accent 1"/>
    <w:basedOn w:val="165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8" w:customStyle="1">
    <w:name w:val="List Table 4 - Accent 2"/>
    <w:basedOn w:val="165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9" w:customStyle="1">
    <w:name w:val="List Table 4 - Accent 3"/>
    <w:basedOn w:val="165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70" w:customStyle="1">
    <w:name w:val="List Table 4 - Accent 4"/>
    <w:basedOn w:val="165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71" w:customStyle="1">
    <w:name w:val="List Table 4 - Accent 5"/>
    <w:basedOn w:val="165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72" w:customStyle="1">
    <w:name w:val="List Table 4 - Accent 6"/>
    <w:basedOn w:val="165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73">
    <w:name w:val="List Table 5 Dark"/>
    <w:basedOn w:val="165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74" w:customStyle="1">
    <w:name w:val="List Table 5 Dark - Accent 1"/>
    <w:basedOn w:val="165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75" w:customStyle="1">
    <w:name w:val="List Table 5 Dark - Accent 2"/>
    <w:basedOn w:val="165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76" w:customStyle="1">
    <w:name w:val="List Table 5 Dark - Accent 3"/>
    <w:basedOn w:val="165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77" w:customStyle="1">
    <w:name w:val="List Table 5 Dark - Accent 4"/>
    <w:basedOn w:val="165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78" w:customStyle="1">
    <w:name w:val="List Table 5 Dark - Accent 5"/>
    <w:basedOn w:val="165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79" w:customStyle="1">
    <w:name w:val="List Table 5 Dark - Accent 6"/>
    <w:basedOn w:val="165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780">
    <w:name w:val="List Table 6 Colorful"/>
    <w:basedOn w:val="165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781" w:customStyle="1">
    <w:name w:val="List Table 6 Colorful - Accent 1"/>
    <w:basedOn w:val="165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782" w:customStyle="1">
    <w:name w:val="List Table 6 Colorful - Accent 2"/>
    <w:basedOn w:val="165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783" w:customStyle="1">
    <w:name w:val="List Table 6 Colorful - Accent 3"/>
    <w:basedOn w:val="165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784" w:customStyle="1">
    <w:name w:val="List Table 6 Colorful - Accent 4"/>
    <w:basedOn w:val="165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785" w:customStyle="1">
    <w:name w:val="List Table 6 Colorful - Accent 5"/>
    <w:basedOn w:val="165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786" w:customStyle="1">
    <w:name w:val="List Table 6 Colorful - Accent 6"/>
    <w:basedOn w:val="165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787">
    <w:name w:val="List Table 7 Colorful"/>
    <w:basedOn w:val="165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88" w:customStyle="1">
    <w:name w:val="List Table 7 Colorful - Accent 1"/>
    <w:basedOn w:val="165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89" w:customStyle="1">
    <w:name w:val="List Table 7 Colorful - Accent 2"/>
    <w:basedOn w:val="165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90" w:customStyle="1">
    <w:name w:val="List Table 7 Colorful - Accent 3"/>
    <w:basedOn w:val="165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91" w:customStyle="1">
    <w:name w:val="List Table 7 Colorful - Accent 4"/>
    <w:basedOn w:val="165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92" w:customStyle="1">
    <w:name w:val="List Table 7 Colorful - Accent 5"/>
    <w:basedOn w:val="165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93" w:customStyle="1">
    <w:name w:val="List Table 7 Colorful - Accent 6"/>
    <w:basedOn w:val="165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94" w:customStyle="1">
    <w:name w:val="Lined - Accent"/>
    <w:basedOn w:val="165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795" w:customStyle="1">
    <w:name w:val="Lined - Accent 1"/>
    <w:basedOn w:val="165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796" w:customStyle="1">
    <w:name w:val="Lined - Accent 2"/>
    <w:basedOn w:val="165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797" w:customStyle="1">
    <w:name w:val="Lined - Accent 3"/>
    <w:basedOn w:val="165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798" w:customStyle="1">
    <w:name w:val="Lined - Accent 4"/>
    <w:basedOn w:val="165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799" w:customStyle="1">
    <w:name w:val="Lined - Accent 5"/>
    <w:basedOn w:val="165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800" w:customStyle="1">
    <w:name w:val="Lined - Accent 6"/>
    <w:basedOn w:val="165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801" w:customStyle="1">
    <w:name w:val="Bordered &amp; Lined - Accent"/>
    <w:basedOn w:val="165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802" w:customStyle="1">
    <w:name w:val="Bordered &amp; Lined - Accent 1"/>
    <w:basedOn w:val="165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803" w:customStyle="1">
    <w:name w:val="Bordered &amp; Lined - Accent 2"/>
    <w:basedOn w:val="165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804" w:customStyle="1">
    <w:name w:val="Bordered &amp; Lined - Accent 3"/>
    <w:basedOn w:val="165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805" w:customStyle="1">
    <w:name w:val="Bordered &amp; Lined - Accent 4"/>
    <w:basedOn w:val="165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806" w:customStyle="1">
    <w:name w:val="Bordered &amp; Lined - Accent 5"/>
    <w:basedOn w:val="165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807" w:customStyle="1">
    <w:name w:val="Bordered &amp; Lined - Accent 6"/>
    <w:basedOn w:val="165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808" w:customStyle="1">
    <w:name w:val="Bordered"/>
    <w:basedOn w:val="165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809" w:customStyle="1">
    <w:name w:val="Bordered - Accent 1"/>
    <w:basedOn w:val="165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810" w:customStyle="1">
    <w:name w:val="Bordered - Accent 2"/>
    <w:basedOn w:val="165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811" w:customStyle="1">
    <w:name w:val="Bordered - Accent 3"/>
    <w:basedOn w:val="165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812" w:customStyle="1">
    <w:name w:val="Bordered - Accent 4"/>
    <w:basedOn w:val="165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813" w:customStyle="1">
    <w:name w:val="Bordered - Accent 5"/>
    <w:basedOn w:val="165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814" w:customStyle="1">
    <w:name w:val="Bordered - Accent 6"/>
    <w:basedOn w:val="165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815" w:customStyle="1">
    <w:name w:val="Footnote Text Char"/>
    <w:uiPriority w:val="99"/>
    <w:rPr>
      <w:sz w:val="18"/>
    </w:rPr>
  </w:style>
  <w:style w:type="character" w:styleId="1816" w:customStyle="1">
    <w:name w:val="Endnote Text Char"/>
    <w:uiPriority w:val="99"/>
    <w:rPr>
      <w:sz w:val="20"/>
    </w:rPr>
  </w:style>
  <w:style w:type="paragraph" w:styleId="1817">
    <w:name w:val="toc 4"/>
    <w:basedOn w:val="1646"/>
    <w:next w:val="1646"/>
    <w:uiPriority w:val="39"/>
    <w:unhideWhenUsed/>
    <w:pPr>
      <w:ind w:left="850"/>
      <w:spacing w:after="57"/>
    </w:pPr>
  </w:style>
  <w:style w:type="paragraph" w:styleId="1818">
    <w:name w:val="toc 5"/>
    <w:basedOn w:val="1646"/>
    <w:next w:val="1646"/>
    <w:uiPriority w:val="39"/>
    <w:unhideWhenUsed/>
    <w:pPr>
      <w:ind w:left="1134"/>
      <w:spacing w:after="57"/>
    </w:pPr>
  </w:style>
  <w:style w:type="paragraph" w:styleId="1819">
    <w:name w:val="toc 6"/>
    <w:basedOn w:val="1646"/>
    <w:next w:val="1646"/>
    <w:uiPriority w:val="39"/>
    <w:unhideWhenUsed/>
    <w:pPr>
      <w:ind w:left="1417"/>
      <w:spacing w:after="57"/>
    </w:pPr>
  </w:style>
  <w:style w:type="paragraph" w:styleId="1820">
    <w:name w:val="toc 7"/>
    <w:basedOn w:val="1646"/>
    <w:next w:val="1646"/>
    <w:uiPriority w:val="39"/>
    <w:unhideWhenUsed/>
    <w:pPr>
      <w:ind w:left="1701"/>
      <w:spacing w:after="57"/>
    </w:pPr>
  </w:style>
  <w:style w:type="paragraph" w:styleId="1821">
    <w:name w:val="toc 8"/>
    <w:basedOn w:val="1646"/>
    <w:next w:val="1646"/>
    <w:uiPriority w:val="39"/>
    <w:unhideWhenUsed/>
    <w:pPr>
      <w:ind w:left="1984"/>
      <w:spacing w:after="57"/>
    </w:pPr>
  </w:style>
  <w:style w:type="paragraph" w:styleId="1822">
    <w:name w:val="toc 9"/>
    <w:basedOn w:val="1646"/>
    <w:next w:val="1646"/>
    <w:uiPriority w:val="39"/>
    <w:unhideWhenUsed/>
    <w:pPr>
      <w:ind w:left="2268"/>
      <w:spacing w:after="57"/>
    </w:pPr>
  </w:style>
  <w:style w:type="paragraph" w:styleId="1823">
    <w:name w:val="TOC Heading"/>
    <w:uiPriority w:val="39"/>
    <w:unhideWhenUsed/>
  </w:style>
  <w:style w:type="paragraph" w:styleId="1824">
    <w:name w:val="table of figures"/>
    <w:basedOn w:val="1646"/>
    <w:next w:val="1646"/>
    <w:uiPriority w:val="99"/>
    <w:unhideWhenUsed/>
  </w:style>
  <w:style w:type="character" w:styleId="1825">
    <w:name w:val="footnote reference"/>
    <w:uiPriority w:val="99"/>
    <w:unhideWhenUsed/>
    <w:qFormat/>
    <w:rPr>
      <w:rFonts w:ascii="Arial" w:hAnsi="Arial" w:cs="Arial"/>
      <w:sz w:val="24"/>
      <w:szCs w:val="24"/>
      <w:vertAlign w:val="superscript"/>
    </w:rPr>
  </w:style>
  <w:style w:type="character" w:styleId="1826">
    <w:name w:val="annotation reference"/>
    <w:uiPriority w:val="99"/>
    <w:semiHidden/>
    <w:unhideWhenUsed/>
    <w:rPr>
      <w:sz w:val="16"/>
      <w:szCs w:val="16"/>
    </w:rPr>
  </w:style>
  <w:style w:type="character" w:styleId="1827">
    <w:name w:val="endnote reference"/>
    <w:uiPriority w:val="99"/>
    <w:semiHidden/>
    <w:unhideWhenUsed/>
    <w:qFormat/>
    <w:rPr>
      <w:vertAlign w:val="superscript"/>
    </w:rPr>
  </w:style>
  <w:style w:type="character" w:styleId="1828">
    <w:name w:val="Hyperlink"/>
    <w:basedOn w:val="1656"/>
    <w:uiPriority w:val="99"/>
    <w:unhideWhenUsed/>
    <w:qFormat/>
    <w:rPr>
      <w:color w:val="0000ff" w:themeColor="hyperlink"/>
      <w:u w:val="single"/>
    </w:rPr>
  </w:style>
  <w:style w:type="character" w:styleId="1829">
    <w:name w:val="page number"/>
    <w:qFormat/>
    <w:rPr>
      <w:rFonts w:cs="Times New Roman"/>
    </w:rPr>
  </w:style>
  <w:style w:type="paragraph" w:styleId="1830">
    <w:name w:val="Balloon Text"/>
    <w:basedOn w:val="1646"/>
    <w:link w:val="1843"/>
    <w:uiPriority w:val="99"/>
    <w:semiHidden/>
    <w:unhideWhenUsed/>
    <w:rPr>
      <w:rFonts w:ascii="Tahoma" w:hAnsi="Tahoma" w:cs="Tahoma"/>
      <w:sz w:val="16"/>
      <w:szCs w:val="16"/>
    </w:rPr>
  </w:style>
  <w:style w:type="paragraph" w:styleId="1831">
    <w:name w:val="endnote text"/>
    <w:basedOn w:val="1646"/>
    <w:link w:val="1854"/>
    <w:uiPriority w:val="99"/>
    <w:semiHidden/>
    <w:unhideWhenUsed/>
    <w:qFormat/>
  </w:style>
  <w:style w:type="paragraph" w:styleId="1832">
    <w:name w:val="Caption"/>
    <w:basedOn w:val="1646"/>
    <w:next w:val="1646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1833">
    <w:name w:val="annotation text"/>
    <w:basedOn w:val="1646"/>
    <w:link w:val="1844"/>
    <w:uiPriority w:val="99"/>
    <w:unhideWhenUsed/>
  </w:style>
  <w:style w:type="paragraph" w:styleId="1834">
    <w:name w:val="annotation subject"/>
    <w:basedOn w:val="1833"/>
    <w:next w:val="1833"/>
    <w:link w:val="1845"/>
    <w:uiPriority w:val="99"/>
    <w:semiHidden/>
    <w:unhideWhenUsed/>
    <w:rPr>
      <w:b/>
      <w:bCs/>
    </w:rPr>
  </w:style>
  <w:style w:type="paragraph" w:styleId="1835">
    <w:name w:val="footnote text"/>
    <w:basedOn w:val="1646"/>
    <w:link w:val="1849"/>
    <w:uiPriority w:val="99"/>
    <w:semiHidden/>
    <w:unhideWhenUsed/>
  </w:style>
  <w:style w:type="paragraph" w:styleId="1836">
    <w:name w:val="Header"/>
    <w:basedOn w:val="1646"/>
    <w:link w:val="1850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1837">
    <w:name w:val="toc 1"/>
    <w:basedOn w:val="1646"/>
    <w:next w:val="1646"/>
    <w:uiPriority w:val="39"/>
    <w:unhideWhenUsed/>
    <w:qFormat/>
    <w:pPr>
      <w:ind w:left="227" w:hanging="227"/>
      <w:spacing w:after="100" w:line="259" w:lineRule="auto"/>
      <w:tabs>
        <w:tab w:val="right" w:pos="9628" w:leader="dot"/>
      </w:tabs>
    </w:pPr>
    <w:rPr>
      <w:rFonts w:asciiTheme="minorHAnsi" w:hAnsiTheme="minorHAnsi" w:eastAsiaTheme="minorEastAsia"/>
    </w:rPr>
  </w:style>
  <w:style w:type="paragraph" w:styleId="1838">
    <w:name w:val="toc 3"/>
    <w:basedOn w:val="1646"/>
    <w:next w:val="1646"/>
    <w:uiPriority w:val="39"/>
    <w:unhideWhenUsed/>
    <w:qFormat/>
    <w:pPr>
      <w:ind w:left="440"/>
      <w:spacing w:after="100" w:line="259" w:lineRule="auto"/>
    </w:pPr>
    <w:rPr>
      <w:rFonts w:asciiTheme="minorHAnsi" w:hAnsiTheme="minorHAnsi" w:eastAsiaTheme="minorEastAsia"/>
    </w:rPr>
  </w:style>
  <w:style w:type="paragraph" w:styleId="1839">
    <w:name w:val="toc 2"/>
    <w:basedOn w:val="1646"/>
    <w:next w:val="1646"/>
    <w:uiPriority w:val="39"/>
    <w:unhideWhenUsed/>
    <w:qFormat/>
    <w:pPr>
      <w:ind w:left="618" w:hanging="397"/>
      <w:spacing w:after="100" w:line="259" w:lineRule="auto"/>
      <w:tabs>
        <w:tab w:val="right" w:pos="9628" w:leader="dot"/>
      </w:tabs>
    </w:pPr>
    <w:rPr>
      <w:rFonts w:asciiTheme="minorHAnsi" w:hAnsiTheme="minorHAnsi" w:eastAsiaTheme="minorEastAsia"/>
    </w:rPr>
  </w:style>
  <w:style w:type="paragraph" w:styleId="1840">
    <w:name w:val="List Bullet"/>
    <w:basedOn w:val="1646"/>
    <w:uiPriority w:val="99"/>
    <w:unhideWhenUsed/>
    <w:qFormat/>
    <w:pPr>
      <w:numPr>
        <w:ilvl w:val="0"/>
        <w:numId w:val="1"/>
      </w:numPr>
      <w:contextualSpacing/>
    </w:pPr>
  </w:style>
  <w:style w:type="paragraph" w:styleId="1841">
    <w:name w:val="Footer"/>
    <w:basedOn w:val="1646"/>
    <w:link w:val="1851"/>
    <w:uiPriority w:val="99"/>
    <w:unhideWhenUsed/>
    <w:pPr>
      <w:tabs>
        <w:tab w:val="center" w:pos="4677" w:leader="none"/>
        <w:tab w:val="right" w:pos="9355" w:leader="none"/>
      </w:tabs>
    </w:pPr>
  </w:style>
  <w:style w:type="table" w:styleId="1842">
    <w:name w:val="Table Grid"/>
    <w:basedOn w:val="165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43" w:customStyle="1">
    <w:name w:val="Текст выноски Знак"/>
    <w:link w:val="1830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styleId="1844" w:customStyle="1">
    <w:name w:val="Текст примечания Знак"/>
    <w:link w:val="1833"/>
    <w:uiPriority w:val="99"/>
    <w:rPr>
      <w:lang w:eastAsia="en-US"/>
    </w:rPr>
  </w:style>
  <w:style w:type="character" w:styleId="1845" w:customStyle="1">
    <w:name w:val="Тема примечания Знак"/>
    <w:link w:val="1834"/>
    <w:uiPriority w:val="99"/>
    <w:semiHidden/>
    <w:qFormat/>
    <w:rPr>
      <w:b/>
      <w:bCs/>
      <w:lang w:eastAsia="en-US"/>
    </w:rPr>
  </w:style>
  <w:style w:type="paragraph" w:styleId="1846" w:customStyle="1">
    <w:name w:val="ConsPlusNormal"/>
    <w:link w:val="1847"/>
    <w:qFormat/>
    <w:pPr>
      <w:widowControl w:val="off"/>
    </w:pPr>
    <w:rPr>
      <w:rFonts w:eastAsia="Times New Roman" w:cs="Calibri"/>
      <w:sz w:val="22"/>
    </w:rPr>
  </w:style>
  <w:style w:type="character" w:styleId="1847" w:customStyle="1">
    <w:name w:val="ConsPlusNormal Знак"/>
    <w:link w:val="1846"/>
    <w:qFormat/>
    <w:rPr>
      <w:rFonts w:eastAsia="Times New Roman" w:cs="Calibri"/>
      <w:sz w:val="22"/>
    </w:rPr>
  </w:style>
  <w:style w:type="character" w:styleId="1848" w:customStyle="1">
    <w:name w:val="extended-text__short"/>
    <w:qFormat/>
  </w:style>
  <w:style w:type="character" w:styleId="1849" w:customStyle="1">
    <w:name w:val="Текст сноски Знак"/>
    <w:link w:val="1835"/>
    <w:uiPriority w:val="99"/>
    <w:semiHidden/>
    <w:qFormat/>
    <w:rPr>
      <w:lang w:eastAsia="en-US"/>
    </w:rPr>
  </w:style>
  <w:style w:type="character" w:styleId="1850" w:customStyle="1">
    <w:name w:val="Верхний колонтитул Знак"/>
    <w:link w:val="1836"/>
    <w:uiPriority w:val="99"/>
    <w:rPr>
      <w:sz w:val="22"/>
      <w:szCs w:val="22"/>
      <w:lang w:eastAsia="en-US"/>
    </w:rPr>
  </w:style>
  <w:style w:type="character" w:styleId="1851" w:customStyle="1">
    <w:name w:val="Нижний колонтитул Знак"/>
    <w:link w:val="1841"/>
    <w:uiPriority w:val="99"/>
    <w:rPr>
      <w:sz w:val="22"/>
      <w:szCs w:val="22"/>
      <w:lang w:eastAsia="en-US"/>
    </w:rPr>
  </w:style>
  <w:style w:type="paragraph" w:styleId="1852" w:customStyle="1">
    <w:name w:val="Рецензия1"/>
    <w:hidden/>
    <w:uiPriority w:val="99"/>
    <w:semiHidden/>
    <w:qFormat/>
    <w:rPr>
      <w:sz w:val="22"/>
      <w:szCs w:val="22"/>
      <w:lang w:eastAsia="en-US"/>
    </w:rPr>
  </w:style>
  <w:style w:type="paragraph" w:styleId="1853" w:customStyle="1">
    <w:name w:val="ConsPlusNonformat"/>
    <w:qFormat/>
    <w:pPr>
      <w:widowControl w:val="off"/>
    </w:pPr>
    <w:rPr>
      <w:rFonts w:ascii="Courier New" w:hAnsi="Courier New" w:eastAsia="Times New Roman" w:cs="Courier New"/>
    </w:rPr>
  </w:style>
  <w:style w:type="character" w:styleId="1854" w:customStyle="1">
    <w:name w:val="Текст концевой сноски Знак"/>
    <w:link w:val="1831"/>
    <w:uiPriority w:val="99"/>
    <w:semiHidden/>
    <w:qFormat/>
    <w:rPr>
      <w:lang w:eastAsia="en-US"/>
    </w:rPr>
  </w:style>
  <w:style w:type="paragraph" w:styleId="1855" w:customStyle="1">
    <w:name w:val="ТЕКСТ"/>
    <w:basedOn w:val="1646"/>
    <w:link w:val="1856"/>
    <w:qFormat/>
    <w:pPr>
      <w:ind w:firstLine="510"/>
      <w:jc w:val="both"/>
    </w:pPr>
    <w:rPr>
      <w:rFonts w:ascii="Arial" w:hAnsi="Arial" w:eastAsia="Times New Roman"/>
    </w:rPr>
  </w:style>
  <w:style w:type="character" w:styleId="1856" w:customStyle="1">
    <w:name w:val="ТЕКСТ Знак"/>
    <w:link w:val="1855"/>
    <w:qFormat/>
    <w:rPr>
      <w:rFonts w:ascii="Arial" w:hAnsi="Arial" w:eastAsia="Times New Roman"/>
    </w:rPr>
  </w:style>
  <w:style w:type="paragraph" w:styleId="1857" w:customStyle="1">
    <w:name w:val="табл.прил."/>
    <w:basedOn w:val="1646"/>
    <w:link w:val="1858"/>
    <w:qFormat/>
    <w:pPr>
      <w:jc w:val="center"/>
      <w:widowControl w:val="off"/>
    </w:pPr>
    <w:rPr>
      <w:rFonts w:ascii="Arial" w:hAnsi="Arial" w:eastAsia="Times New Roman"/>
      <w:sz w:val="16"/>
      <w:szCs w:val="16"/>
    </w:rPr>
  </w:style>
  <w:style w:type="character" w:styleId="1858" w:customStyle="1">
    <w:name w:val="табл.прил. Знак"/>
    <w:link w:val="1857"/>
    <w:qFormat/>
    <w:rPr>
      <w:rFonts w:ascii="Arial" w:hAnsi="Arial" w:eastAsia="Times New Roman"/>
      <w:sz w:val="16"/>
      <w:szCs w:val="16"/>
    </w:rPr>
  </w:style>
  <w:style w:type="paragraph" w:styleId="1859" w:customStyle="1">
    <w:name w:val="Заг. ПРИЛОЖЕНИЯ"/>
    <w:basedOn w:val="1646"/>
    <w:link w:val="1860"/>
    <w:qFormat/>
    <w:pPr>
      <w:jc w:val="center"/>
    </w:pPr>
    <w:rPr>
      <w:rFonts w:ascii="Arial" w:hAnsi="Arial" w:eastAsia="Arial"/>
      <w:b/>
    </w:rPr>
  </w:style>
  <w:style w:type="character" w:styleId="1860" w:customStyle="1">
    <w:name w:val="Заг. ПРИЛОЖЕНИЯ Знак"/>
    <w:link w:val="1859"/>
    <w:qFormat/>
    <w:rPr>
      <w:rFonts w:ascii="Arial" w:hAnsi="Arial" w:eastAsia="Arial"/>
      <w:b/>
    </w:rPr>
  </w:style>
  <w:style w:type="paragraph" w:styleId="1861">
    <w:name w:val="List Paragraph"/>
    <w:basedOn w:val="1646"/>
    <w:link w:val="1862"/>
    <w:qFormat/>
    <w:pPr>
      <w:contextualSpacing/>
      <w:ind w:left="720"/>
    </w:pPr>
    <w:rPr>
      <w:rFonts w:eastAsia="Times New Roman" w:asciiTheme="minorHAnsi" w:hAnsiTheme="minorHAnsi"/>
      <w:color w:val="000000"/>
    </w:rPr>
  </w:style>
  <w:style w:type="character" w:styleId="1862" w:customStyle="1">
    <w:name w:val="Абзац списка Знак"/>
    <w:basedOn w:val="1656"/>
    <w:link w:val="1861"/>
    <w:qFormat/>
    <w:rPr>
      <w:rFonts w:eastAsia="Times New Roman" w:asciiTheme="minorHAnsi" w:hAnsiTheme="minorHAnsi"/>
      <w:color w:val="000000"/>
      <w:sz w:val="22"/>
    </w:rPr>
  </w:style>
  <w:style w:type="paragraph" w:styleId="1863">
    <w:name w:val="No Spacing"/>
    <w:link w:val="1868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1864" w:customStyle="1">
    <w:name w:val="Сетка таблицы1"/>
    <w:basedOn w:val="1657"/>
    <w:uiPriority w:val="39"/>
    <w:qFormat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65" w:customStyle="1">
    <w:name w:val="Заголовок 1 Знак"/>
    <w:basedOn w:val="1656"/>
    <w:link w:val="1647"/>
    <w:uiPriority w:val="9"/>
    <w:qFormat/>
    <w:rPr>
      <w:rFonts w:ascii="Arial" w:hAnsi="Arial" w:cs="Arial"/>
      <w:b/>
      <w:sz w:val="28"/>
      <w:szCs w:val="28"/>
      <w:lang w:eastAsia="en-US"/>
    </w:rPr>
  </w:style>
  <w:style w:type="paragraph" w:styleId="1866" w:customStyle="1">
    <w:name w:val="Заголовок оглавления1"/>
    <w:basedOn w:val="1647"/>
    <w:next w:val="1646"/>
    <w:uiPriority w:val="39"/>
    <w:unhideWhenUsed/>
    <w:qFormat/>
    <w:pPr>
      <w:spacing w:line="259" w:lineRule="auto"/>
      <w:outlineLvl w:val="9"/>
    </w:pPr>
  </w:style>
  <w:style w:type="character" w:styleId="1867" w:customStyle="1">
    <w:name w:val="Заголовок 2 Знак"/>
    <w:basedOn w:val="1656"/>
    <w:link w:val="1648"/>
    <w:uiPriority w:val="9"/>
    <w:qFormat/>
    <w:rPr>
      <w:rFonts w:ascii="Arial" w:hAnsi="Arial" w:cs="Arial" w:eastAsiaTheme="minorEastAsia"/>
      <w:b/>
      <w:sz w:val="24"/>
      <w:szCs w:val="24"/>
      <w:lang w:eastAsia="en-US"/>
    </w:rPr>
  </w:style>
  <w:style w:type="character" w:styleId="1868" w:customStyle="1">
    <w:name w:val="Без интервала Знак"/>
    <w:basedOn w:val="1656"/>
    <w:link w:val="1863"/>
    <w:uiPriority w:val="1"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header" Target="header11.xml" /><Relationship Id="rId20" Type="http://schemas.openxmlformats.org/officeDocument/2006/relationships/header" Target="header12.xml" /><Relationship Id="rId21" Type="http://schemas.openxmlformats.org/officeDocument/2006/relationships/header" Target="header13.xml" /><Relationship Id="rId22" Type="http://schemas.openxmlformats.org/officeDocument/2006/relationships/header" Target="header14.xml" /><Relationship Id="rId23" Type="http://schemas.openxmlformats.org/officeDocument/2006/relationships/header" Target="header15.xml" /><Relationship Id="rId24" Type="http://schemas.openxmlformats.org/officeDocument/2006/relationships/footer" Target="footer1.xml" /><Relationship Id="rId25" Type="http://schemas.openxmlformats.org/officeDocument/2006/relationships/footer" Target="footer2.xml" /><Relationship Id="rId26" Type="http://schemas.openxmlformats.org/officeDocument/2006/relationships/footer" Target="footer3.xml" /><Relationship Id="rId27" Type="http://schemas.openxmlformats.org/officeDocument/2006/relationships/footer" Target="footer4.xml" /><Relationship Id="rId28" Type="http://schemas.openxmlformats.org/officeDocument/2006/relationships/footer" Target="footer5.xml" /><Relationship Id="rId29" Type="http://schemas.openxmlformats.org/officeDocument/2006/relationships/footer" Target="footer6.xml" /><Relationship Id="rId30" Type="http://schemas.openxmlformats.org/officeDocument/2006/relationships/footer" Target="footer7.xml" /><Relationship Id="rId31" Type="http://schemas.openxmlformats.org/officeDocument/2006/relationships/footer" Target="footer8.xml" /><Relationship Id="rId32" Type="http://schemas.openxmlformats.org/officeDocument/2006/relationships/footer" Target="footer9.xml" /><Relationship Id="rId33" Type="http://schemas.openxmlformats.org/officeDocument/2006/relationships/footer" Target="footer10.xml" /><Relationship Id="rId34" Type="http://schemas.openxmlformats.org/officeDocument/2006/relationships/footer" Target="footer11.xml" /><Relationship Id="rId35" Type="http://schemas.openxmlformats.org/officeDocument/2006/relationships/footer" Target="footer12.xml" /><Relationship Id="rId36" Type="http://schemas.openxmlformats.org/officeDocument/2006/relationships/footer" Target="footer13.xml" /><Relationship Id="rId37" Type="http://schemas.openxmlformats.org/officeDocument/2006/relationships/footer" Target="footer14.xml" /><Relationship Id="rId38" Type="http://schemas.openxmlformats.org/officeDocument/2006/relationships/footer" Target="footer15.xml" /><Relationship Id="rId39" Type="http://schemas.openxmlformats.org/officeDocument/2006/relationships/footer" Target="footer16.xml" /><Relationship Id="rId40" Type="http://schemas.openxmlformats.org/officeDocument/2006/relationships/footer" Target="footer17.xml" /><Relationship Id="rId41" Type="http://schemas.openxmlformats.org/officeDocument/2006/relationships/footer" Target="footer18.xml" /><Relationship Id="rId42" Type="http://schemas.openxmlformats.org/officeDocument/2006/relationships/footer" Target="footer19.xml" /><Relationship Id="rId43" Type="http://schemas.openxmlformats.org/officeDocument/2006/relationships/customXml" Target="../customXml/item1.xml" /><Relationship Id="rId44" Type="http://schemas.openxmlformats.org/officeDocument/2006/relationships/customXml" Target="../customXml/item2.xml" /><Relationship Id="rId45" Type="http://schemas.openxmlformats.org/officeDocument/2006/relationships/image" Target="media/image1.emf"/><Relationship Id="rId46" Type="http://schemas.openxmlformats.org/officeDocument/2006/relationships/image" Target="media/image2.png"/><Relationship Id="rId47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11.xml.rels><?xml version="1.0" encoding="UTF-8" standalone="yes"?><Relationships xmlns="http://schemas.openxmlformats.org/package/2006/relationships"></Relationships>
</file>

<file path=word/_rels/footer12.xml.rels><?xml version="1.0" encoding="UTF-8" standalone="yes"?><Relationships xmlns="http://schemas.openxmlformats.org/package/2006/relationships"></Relationships>
</file>

<file path=word/_rels/footer13.xml.rels><?xml version="1.0" encoding="UTF-8" standalone="yes"?><Relationships xmlns="http://schemas.openxmlformats.org/package/2006/relationships"></Relationships>
</file>

<file path=word/_rels/footer14.xml.rels><?xml version="1.0" encoding="UTF-8" standalone="yes"?><Relationships xmlns="http://schemas.openxmlformats.org/package/2006/relationships"></Relationships>
</file>

<file path=word/_rels/footer15.xml.rels><?xml version="1.0" encoding="UTF-8" standalone="yes"?><Relationships xmlns="http://schemas.openxmlformats.org/package/2006/relationships"></Relationships>
</file>

<file path=word/_rels/footer16.xml.rels><?xml version="1.0" encoding="UTF-8" standalone="yes"?><Relationships xmlns="http://schemas.openxmlformats.org/package/2006/relationships"></Relationships>
</file>

<file path=word/_rels/footer17.xml.rels><?xml version="1.0" encoding="UTF-8" standalone="yes"?><Relationships xmlns="http://schemas.openxmlformats.org/package/2006/relationships"></Relationships>
</file>

<file path=word/_rels/footer18.xml.rels><?xml version="1.0" encoding="UTF-8" standalone="yes"?><Relationships xmlns="http://schemas.openxmlformats.org/package/2006/relationships"></Relationships>
</file>

<file path=word/_rels/footer19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5CCB10-43C7-436F-8FC6-0ED1344188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ОАО "Гипрониигаз"</Company>
  <DocSecurity>0</DocSecurity>
  <HyperlinksChanged>false</HyperlinksChanged>
  <LinksUpToDate>false</LinksUpToDate>
  <ScaleCrop>false</ScaleCrop>
  <SharedDoc>false</SharedDoc>
  <Template>642BF270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Станкина</dc:creator>
  <cp:keywords/>
  <dc:description/>
  <cp:revision>7</cp:revision>
  <dcterms:created xsi:type="dcterms:W3CDTF">2025-08-12T06:43:00Z</dcterms:created>
  <dcterms:modified xsi:type="dcterms:W3CDTF">2025-08-12T10:16:29Z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4DBEE1B86FD9420BAD1922AA4036815F_12</vt:lpwstr>
  </property>
</Properties>
</file>