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FF593" w14:textId="77777777" w:rsidR="00861009" w:rsidRPr="004C65CD" w:rsidRDefault="00F177D8" w:rsidP="00C51386">
      <w:pPr>
        <w:spacing w:after="0"/>
        <w:jc w:val="right"/>
        <w:rPr>
          <w:b/>
        </w:rPr>
      </w:pPr>
      <w:bookmarkStart w:id="0" w:name="_Hlk205525989"/>
      <w:r w:rsidRPr="004C65CD">
        <w:rPr>
          <w:b/>
        </w:rPr>
        <w:t xml:space="preserve">МКС </w:t>
      </w:r>
      <w:r w:rsidRPr="004C65CD">
        <w:rPr>
          <w:b/>
          <w:color w:val="000000"/>
        </w:rPr>
        <w:t>67.080.20</w:t>
      </w:r>
    </w:p>
    <w:p w14:paraId="1C6D0CF4" w14:textId="77777777" w:rsidR="00861009" w:rsidRDefault="00861009" w:rsidP="00C51386">
      <w:pPr>
        <w:spacing w:after="0" w:line="100" w:lineRule="atLeast"/>
        <w:jc w:val="both"/>
        <w:rPr>
          <w:b/>
        </w:rPr>
      </w:pPr>
    </w:p>
    <w:p w14:paraId="1E96AC8F" w14:textId="68C74786" w:rsidR="00861009" w:rsidRDefault="00F177D8" w:rsidP="00C51386">
      <w:pPr>
        <w:spacing w:after="0" w:line="100" w:lineRule="atLeast"/>
        <w:jc w:val="both"/>
        <w:rPr>
          <w:b/>
        </w:rPr>
      </w:pPr>
      <w:bookmarkStart w:id="1" w:name="_Hlk209774573"/>
      <w:r>
        <w:rPr>
          <w:b/>
        </w:rPr>
        <w:t xml:space="preserve">Изменение </w:t>
      </w:r>
      <w:r w:rsidR="005B6293">
        <w:rPr>
          <w:b/>
        </w:rPr>
        <w:t>№</w:t>
      </w:r>
      <w:r>
        <w:rPr>
          <w:b/>
        </w:rPr>
        <w:t xml:space="preserve"> 1 ГОСТ 34298-2017 Томаты свежие. Технические условия</w:t>
      </w:r>
    </w:p>
    <w:bookmarkEnd w:id="1"/>
    <w:p w14:paraId="15669B1B" w14:textId="77777777" w:rsidR="00861009" w:rsidRDefault="00F177D8" w:rsidP="00C51386">
      <w:pPr>
        <w:spacing w:after="0" w:line="100" w:lineRule="atLeast"/>
        <w:jc w:val="both"/>
        <w:rPr>
          <w:b/>
        </w:rPr>
      </w:pPr>
      <w:r>
        <w:rPr>
          <w:b/>
        </w:rPr>
        <w:t>Принято Евразийским советом по стандартизации, метрологии и</w:t>
      </w:r>
    </w:p>
    <w:p w14:paraId="1C591448" w14:textId="5C371909" w:rsidR="00861009" w:rsidRDefault="00F177D8" w:rsidP="00C51386">
      <w:pPr>
        <w:spacing w:after="0" w:line="100" w:lineRule="atLeast"/>
        <w:jc w:val="both"/>
        <w:rPr>
          <w:b/>
        </w:rPr>
      </w:pPr>
      <w:r>
        <w:rPr>
          <w:b/>
        </w:rPr>
        <w:t>сертификации (протокол от</w:t>
      </w:r>
      <w:proofErr w:type="gramStart"/>
      <w:r>
        <w:rPr>
          <w:b/>
        </w:rPr>
        <w:t xml:space="preserve"> </w:t>
      </w:r>
      <w:r w:rsidR="00C51386">
        <w:rPr>
          <w:b/>
        </w:rPr>
        <w:t xml:space="preserve">                )</w:t>
      </w:r>
      <w:proofErr w:type="gramEnd"/>
    </w:p>
    <w:p w14:paraId="206BCDD9" w14:textId="49BF0699" w:rsidR="00861009" w:rsidRDefault="00F177D8" w:rsidP="00C51386">
      <w:pPr>
        <w:spacing w:after="0" w:line="100" w:lineRule="atLeast"/>
        <w:jc w:val="both"/>
        <w:rPr>
          <w:b/>
        </w:rPr>
      </w:pPr>
      <w:r>
        <w:rPr>
          <w:b/>
        </w:rPr>
        <w:t xml:space="preserve">Зарегистрировано Бюро по стандартам МГС </w:t>
      </w:r>
    </w:p>
    <w:p w14:paraId="62C4C071" w14:textId="77777777" w:rsidR="00861009" w:rsidRDefault="00F177D8" w:rsidP="00C51386">
      <w:pPr>
        <w:spacing w:after="0" w:line="100" w:lineRule="atLeast"/>
        <w:jc w:val="both"/>
        <w:rPr>
          <w:b/>
        </w:rPr>
      </w:pPr>
      <w:r>
        <w:rPr>
          <w:b/>
        </w:rPr>
        <w:t>За принятие изменения проголосовали национальные органы по</w:t>
      </w:r>
    </w:p>
    <w:p w14:paraId="31179B40" w14:textId="77777777" w:rsidR="00861009" w:rsidRDefault="00F177D8" w:rsidP="00C51386">
      <w:pPr>
        <w:spacing w:after="0" w:line="100" w:lineRule="atLeast"/>
        <w:jc w:val="both"/>
        <w:rPr>
          <w:b/>
        </w:rPr>
      </w:pPr>
      <w:r>
        <w:rPr>
          <w:b/>
        </w:rPr>
        <w:t>стандартизации следующих государств: [коды альфа-2</w:t>
      </w:r>
    </w:p>
    <w:p w14:paraId="71ABA4D0" w14:textId="77777777" w:rsidR="00861009" w:rsidRDefault="00F177D8" w:rsidP="00C51386">
      <w:pPr>
        <w:spacing w:after="0" w:line="100" w:lineRule="atLeast"/>
        <w:jc w:val="both"/>
        <w:rPr>
          <w:b/>
        </w:rPr>
      </w:pPr>
      <w:r>
        <w:rPr>
          <w:b/>
        </w:rPr>
        <w:t>по МК (ИСО 3166) 0042]</w:t>
      </w:r>
    </w:p>
    <w:p w14:paraId="60DEB31A" w14:textId="77777777" w:rsidR="00861009" w:rsidRDefault="00F177D8" w:rsidP="00C51386">
      <w:pPr>
        <w:spacing w:after="0" w:line="100" w:lineRule="atLeast"/>
        <w:jc w:val="both"/>
        <w:rPr>
          <w:b/>
        </w:rPr>
      </w:pPr>
      <w:r>
        <w:rPr>
          <w:b/>
        </w:rPr>
        <w:t>Дату введения в действие настоящего изменения устанавливают</w:t>
      </w:r>
    </w:p>
    <w:p w14:paraId="5A89C9E1" w14:textId="77777777" w:rsidR="00861009" w:rsidRDefault="00F177D8" w:rsidP="00C51386">
      <w:pPr>
        <w:spacing w:after="0" w:line="100" w:lineRule="atLeast"/>
        <w:jc w:val="both"/>
      </w:pPr>
      <w:r>
        <w:rPr>
          <w:b/>
        </w:rPr>
        <w:t>указанные национальные органы по стандартизации</w:t>
      </w:r>
    </w:p>
    <w:p w14:paraId="7312A9FB" w14:textId="77777777" w:rsidR="00861009" w:rsidRDefault="00861009" w:rsidP="00C51386">
      <w:pPr>
        <w:spacing w:after="0" w:line="100" w:lineRule="atLeast"/>
        <w:jc w:val="both"/>
      </w:pPr>
    </w:p>
    <w:p w14:paraId="2E0FFBF2" w14:textId="77777777" w:rsidR="00861009" w:rsidRDefault="00F177D8" w:rsidP="00C51386">
      <w:pPr>
        <w:spacing w:after="0"/>
        <w:ind w:firstLine="720"/>
        <w:jc w:val="both"/>
      </w:pPr>
      <w:r>
        <w:t>Раздел 2 абзац:</w:t>
      </w:r>
    </w:p>
    <w:p w14:paraId="36412CD6" w14:textId="77777777" w:rsidR="00861009" w:rsidRDefault="00F177D8" w:rsidP="00C51386">
      <w:pPr>
        <w:spacing w:after="0"/>
        <w:ind w:firstLine="720"/>
        <w:jc w:val="both"/>
      </w:pPr>
      <w:r>
        <w:t>«ГОСТ 8.579-2002 «Государственная система обеспечения единства измерений. Требования к количеству фасованных товаров в упаковках любого вида при их производстве, расфасовке, продаже и импорте»</w:t>
      </w:r>
    </w:p>
    <w:p w14:paraId="7D61D0E0" w14:textId="77777777" w:rsidR="00861009" w:rsidRDefault="00F177D8" w:rsidP="00C51386">
      <w:pPr>
        <w:spacing w:after="0"/>
        <w:ind w:firstLine="720"/>
        <w:jc w:val="both"/>
      </w:pPr>
      <w:r>
        <w:t>заменить абзацем следующего содержания:</w:t>
      </w:r>
    </w:p>
    <w:p w14:paraId="2C9717FD" w14:textId="77777777" w:rsidR="00861009" w:rsidRDefault="00F177D8" w:rsidP="00C51386">
      <w:pPr>
        <w:spacing w:after="0"/>
        <w:ind w:firstLine="720"/>
        <w:jc w:val="both"/>
      </w:pPr>
      <w:bookmarkStart w:id="2" w:name="_Hlk209778531"/>
      <w:r>
        <w:t>ГОСТ 8.579-2019 «Государственная система обеспечения единства измерений. Требования к количеству фасованных товаров при их производстве, фасовании, продаже и импорте».</w:t>
      </w:r>
    </w:p>
    <w:bookmarkEnd w:id="2"/>
    <w:p w14:paraId="0F508504" w14:textId="77777777" w:rsidR="005A4926" w:rsidRDefault="005A4926" w:rsidP="00C51386">
      <w:pPr>
        <w:spacing w:after="0"/>
        <w:ind w:firstLine="720"/>
        <w:jc w:val="both"/>
      </w:pPr>
    </w:p>
    <w:p w14:paraId="3B800D11" w14:textId="4068CB6A" w:rsidR="00861009" w:rsidRDefault="00F177D8" w:rsidP="00C51386">
      <w:pPr>
        <w:spacing w:after="0"/>
        <w:ind w:firstLine="720"/>
        <w:jc w:val="both"/>
      </w:pPr>
      <w:r>
        <w:t>Раздел 3. Пункт 3.2.</w:t>
      </w:r>
      <w:r w:rsidR="009F58C0">
        <w:t xml:space="preserve"> </w:t>
      </w:r>
      <w:r>
        <w:t>изложить в следующей редакции:</w:t>
      </w:r>
    </w:p>
    <w:p w14:paraId="3A821BF2" w14:textId="3EE1FEEC" w:rsidR="00861009" w:rsidRDefault="00F177D8" w:rsidP="00C51386">
      <w:pPr>
        <w:spacing w:after="0"/>
        <w:ind w:firstLine="720"/>
        <w:jc w:val="both"/>
      </w:pPr>
      <w:r>
        <w:t xml:space="preserve">«3.2. черри сорта томатов: Сорта томатов, имеющие </w:t>
      </w:r>
      <w:r w:rsidR="00383D0B" w:rsidRPr="00383D0B">
        <w:t>плоды массой до 30 г.</w:t>
      </w:r>
      <w:r>
        <w:t>».</w:t>
      </w:r>
    </w:p>
    <w:p w14:paraId="3FC53A2F" w14:textId="77777777" w:rsidR="00383D0B" w:rsidRDefault="00383D0B" w:rsidP="00C51386">
      <w:pPr>
        <w:spacing w:after="0"/>
        <w:ind w:firstLine="720"/>
        <w:jc w:val="both"/>
      </w:pPr>
      <w:r w:rsidRPr="00383D0B">
        <w:t>Пункт 3.</w:t>
      </w:r>
      <w:r>
        <w:t>4</w:t>
      </w:r>
      <w:r w:rsidRPr="00383D0B">
        <w:t>. изложить в следующей редакции:</w:t>
      </w:r>
    </w:p>
    <w:p w14:paraId="71C7BED5" w14:textId="458B82C0" w:rsidR="00861009" w:rsidRDefault="00383D0B" w:rsidP="00C51386">
      <w:pPr>
        <w:spacing w:after="0"/>
        <w:ind w:firstLine="720"/>
        <w:jc w:val="both"/>
      </w:pPr>
      <w:r>
        <w:t>«</w:t>
      </w:r>
      <w:r w:rsidR="00F177D8" w:rsidRPr="00383D0B">
        <w:t xml:space="preserve">3.4 диаметр плода: </w:t>
      </w:r>
      <w:r w:rsidR="009F58C0" w:rsidRPr="00383D0B">
        <w:t>максимальная длина наибольшего отрезка, который можно провести по серединному поперечному сечению плода</w:t>
      </w:r>
      <w:r w:rsidR="00F177D8" w:rsidRPr="00383D0B">
        <w:t>.».</w:t>
      </w:r>
    </w:p>
    <w:p w14:paraId="4CBB16DC" w14:textId="77777777" w:rsidR="005A4926" w:rsidRDefault="005A4926" w:rsidP="00C51386">
      <w:pPr>
        <w:spacing w:after="0"/>
        <w:ind w:firstLine="720"/>
        <w:jc w:val="both"/>
      </w:pPr>
    </w:p>
    <w:p w14:paraId="653D4577" w14:textId="382DB665" w:rsidR="00861009" w:rsidRDefault="00F177D8" w:rsidP="00C51386">
      <w:pPr>
        <w:spacing w:after="0"/>
        <w:ind w:firstLine="720"/>
        <w:jc w:val="both"/>
      </w:pPr>
      <w:r>
        <w:t xml:space="preserve">Раздел 4.  Пункт 4.1. изложить в следующей редакции: </w:t>
      </w:r>
    </w:p>
    <w:p w14:paraId="7A9EC1B7" w14:textId="499FA298" w:rsidR="00861009" w:rsidRDefault="00F177D8" w:rsidP="00C51386">
      <w:pPr>
        <w:spacing w:after="0"/>
        <w:ind w:firstLine="720"/>
        <w:jc w:val="both"/>
      </w:pPr>
      <w:r>
        <w:t xml:space="preserve">«Свежие томаты подразделяют на четыре товарных типа: </w:t>
      </w:r>
    </w:p>
    <w:p w14:paraId="377A815E" w14:textId="77777777" w:rsidR="00861009" w:rsidRDefault="00F177D8" w:rsidP="00C51386">
      <w:pPr>
        <w:spacing w:after="0"/>
        <w:ind w:firstLine="720"/>
        <w:jc w:val="both"/>
      </w:pPr>
      <w:r>
        <w:t xml:space="preserve">- круглые, </w:t>
      </w:r>
    </w:p>
    <w:p w14:paraId="71C1BE99" w14:textId="77777777" w:rsidR="00861009" w:rsidRDefault="00F177D8" w:rsidP="00C51386">
      <w:pPr>
        <w:spacing w:after="0"/>
        <w:ind w:firstLine="720"/>
        <w:jc w:val="both"/>
      </w:pPr>
      <w:r>
        <w:t xml:space="preserve">- ребристые, </w:t>
      </w:r>
    </w:p>
    <w:p w14:paraId="30B9F06A" w14:textId="77777777" w:rsidR="00861009" w:rsidRDefault="00F177D8" w:rsidP="00C51386">
      <w:pPr>
        <w:spacing w:after="0"/>
        <w:ind w:firstLine="720"/>
        <w:jc w:val="both"/>
      </w:pPr>
      <w:r>
        <w:t xml:space="preserve">- продолговатые (удлиненные), </w:t>
      </w:r>
    </w:p>
    <w:p w14:paraId="6848DDA9" w14:textId="00A72B7F" w:rsidR="00861009" w:rsidRDefault="00F177D8" w:rsidP="00C51386">
      <w:pPr>
        <w:spacing w:after="0"/>
        <w:ind w:firstLine="720"/>
        <w:jc w:val="both"/>
      </w:pPr>
      <w:r>
        <w:t>- черри/коктейльные</w:t>
      </w:r>
      <w:r w:rsidR="009F58C0">
        <w:t xml:space="preserve"> -</w:t>
      </w:r>
      <w:r w:rsidR="009F58C0" w:rsidRPr="009F58C0">
        <w:t xml:space="preserve"> миниатюрные разновидности любых форм</w:t>
      </w:r>
      <w:r w:rsidR="009F58C0">
        <w:t>.</w:t>
      </w:r>
      <w:r>
        <w:t>».</w:t>
      </w:r>
    </w:p>
    <w:p w14:paraId="4E6C7D5A" w14:textId="77777777" w:rsidR="00861009" w:rsidRDefault="00861009" w:rsidP="00C51386">
      <w:pPr>
        <w:spacing w:after="0"/>
        <w:ind w:firstLine="720"/>
        <w:jc w:val="both"/>
      </w:pPr>
    </w:p>
    <w:p w14:paraId="3311C12F" w14:textId="77777777" w:rsidR="00861009" w:rsidRPr="000F4388" w:rsidRDefault="00F177D8" w:rsidP="00C51386">
      <w:pPr>
        <w:spacing w:after="0"/>
        <w:ind w:firstLine="720"/>
        <w:jc w:val="both"/>
      </w:pPr>
      <w:r w:rsidRPr="000F4388">
        <w:t>Пункт 4.3. изложить в следующей редакции:</w:t>
      </w:r>
    </w:p>
    <w:p w14:paraId="4B2CF999" w14:textId="10793956" w:rsidR="00861009" w:rsidRPr="000F4388" w:rsidRDefault="00F177D8" w:rsidP="00C51386">
      <w:pPr>
        <w:spacing w:after="0"/>
        <w:ind w:firstLine="720"/>
        <w:jc w:val="both"/>
      </w:pPr>
      <w:r w:rsidRPr="000F4388">
        <w:t>«</w:t>
      </w:r>
      <w:r w:rsidR="005A4926">
        <w:t xml:space="preserve">4.3. </w:t>
      </w:r>
      <w:r w:rsidRPr="000F4388">
        <w:t>Свежие зрелые томаты в зависимости от окраски подразделяют на кремовые, желтые, оранжевые, розовые, красные, коричневые, зеленые, оранжево-красные, малиновые, фиолетово-коричневые, лиловые, фиолетовые, черные.</w:t>
      </w:r>
    </w:p>
    <w:p w14:paraId="17702E0A" w14:textId="2AB5B2E5" w:rsidR="00861009" w:rsidRPr="000F4388" w:rsidRDefault="00F177D8" w:rsidP="00C51386">
      <w:pPr>
        <w:spacing w:after="0"/>
        <w:ind w:firstLine="720"/>
        <w:jc w:val="both"/>
      </w:pPr>
      <w:r w:rsidRPr="000F4388">
        <w:lastRenderedPageBreak/>
        <w:t>Свежие томаты в зависимости от формы подразделяют на круглые, прямоугольные, овальные, плоскоокруглые, грушевидные, бычье сердце, вытянуто-прямоугольные, сердцевидные, вытянутые,</w:t>
      </w:r>
      <w:r w:rsidR="000F4388" w:rsidRPr="000F4388">
        <w:t xml:space="preserve"> </w:t>
      </w:r>
      <w:r w:rsidRPr="000F4388">
        <w:t>вишневидные, каплевидные, сливовидные, перцевидные, клубниковидные.</w:t>
      </w:r>
    </w:p>
    <w:p w14:paraId="45A2E5BD" w14:textId="67DDF079" w:rsidR="00861009" w:rsidRPr="000F4388" w:rsidRDefault="00F177D8" w:rsidP="00C51386">
      <w:pPr>
        <w:spacing w:after="0"/>
        <w:ind w:firstLine="720"/>
        <w:jc w:val="both"/>
      </w:pPr>
      <w:r w:rsidRPr="000F4388">
        <w:t>В зависимости от ботанического сорта томата допускается использование других наименований цветов и (или) форм томата, не указанных в настоящем пункте.</w:t>
      </w:r>
      <w:r w:rsidR="00A85495" w:rsidRPr="000F4388">
        <w:t>».</w:t>
      </w:r>
    </w:p>
    <w:p w14:paraId="35735E16" w14:textId="77777777" w:rsidR="005A4926" w:rsidRDefault="005A4926" w:rsidP="00C51386">
      <w:pPr>
        <w:spacing w:after="0"/>
        <w:ind w:firstLine="720"/>
        <w:jc w:val="both"/>
      </w:pPr>
    </w:p>
    <w:p w14:paraId="3A60DD36" w14:textId="15994EDE" w:rsidR="009F58C0" w:rsidRPr="009F58C0" w:rsidRDefault="009F58C0" w:rsidP="00C51386">
      <w:pPr>
        <w:spacing w:after="0"/>
        <w:ind w:firstLine="720"/>
        <w:jc w:val="both"/>
      </w:pPr>
      <w:r w:rsidRPr="009F58C0">
        <w:t>Раздел 5, пункт 5.2, таблицу 1 изложить в редакции:</w:t>
      </w:r>
    </w:p>
    <w:tbl>
      <w:tblPr>
        <w:tblW w:w="9638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204"/>
        <w:gridCol w:w="2511"/>
        <w:gridCol w:w="2513"/>
      </w:tblGrid>
      <w:tr w:rsidR="009F58C0" w:rsidRPr="005A4926" w14:paraId="38E61342" w14:textId="77777777" w:rsidTr="005A4926">
        <w:trPr>
          <w:trHeight w:val="506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A7AB7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2AAFB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Характеристика и норма для товарного сорта</w:t>
            </w:r>
          </w:p>
        </w:tc>
      </w:tr>
      <w:tr w:rsidR="009F58C0" w:rsidRPr="005A4926" w14:paraId="4965D89B" w14:textId="77777777" w:rsidTr="005A4926">
        <w:trPr>
          <w:trHeight w:val="401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DAE08" w14:textId="77777777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A47B2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высшего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D229A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первого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5247E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второго</w:t>
            </w:r>
          </w:p>
        </w:tc>
      </w:tr>
      <w:tr w:rsidR="003E149C" w:rsidRPr="005A4926" w14:paraId="4447A17C" w14:textId="77777777" w:rsidTr="005A4926">
        <w:trPr>
          <w:trHeight w:val="551"/>
        </w:trPr>
        <w:tc>
          <w:tcPr>
            <w:tcW w:w="24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37C30" w14:textId="77777777" w:rsidR="003E149C" w:rsidRPr="005A4926" w:rsidRDefault="003E149C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Внешний вид</w:t>
            </w:r>
          </w:p>
        </w:tc>
        <w:tc>
          <w:tcPr>
            <w:tcW w:w="7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D822B" w14:textId="30E1D3DA" w:rsidR="003E149C" w:rsidRPr="005A4926" w:rsidRDefault="003E149C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 xml:space="preserve">Плоды свежие, целые, здоровые, чистые, плотные, </w:t>
            </w:r>
            <w:r w:rsidR="00A56ED8" w:rsidRPr="005A4926">
              <w:rPr>
                <w:sz w:val="24"/>
                <w:szCs w:val="24"/>
              </w:rPr>
              <w:t>типичной для ботанического сорта формы</w:t>
            </w:r>
            <w:r w:rsidR="00241E37" w:rsidRPr="005A4926">
              <w:rPr>
                <w:sz w:val="24"/>
                <w:szCs w:val="24"/>
              </w:rPr>
              <w:t>, свойственной ботаническому сорту окраски*</w:t>
            </w:r>
            <w:r w:rsidR="00A56ED8" w:rsidRPr="005A4926">
              <w:rPr>
                <w:sz w:val="24"/>
                <w:szCs w:val="24"/>
              </w:rPr>
              <w:t xml:space="preserve"> </w:t>
            </w:r>
            <w:r w:rsidRPr="005A4926">
              <w:rPr>
                <w:sz w:val="24"/>
                <w:szCs w:val="24"/>
              </w:rPr>
              <w:t>с плодоножкой или без плодоножки, без излишней влажности.</w:t>
            </w:r>
          </w:p>
        </w:tc>
      </w:tr>
      <w:tr w:rsidR="003E149C" w:rsidRPr="005A4926" w14:paraId="0A2282CF" w14:textId="77777777" w:rsidTr="005A4926">
        <w:trPr>
          <w:trHeight w:val="526"/>
        </w:trPr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F4D5A" w14:textId="77777777" w:rsidR="003E149C" w:rsidRPr="005A4926" w:rsidRDefault="003E149C" w:rsidP="00C513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AE19DA" w14:textId="28E824E7" w:rsidR="003E149C" w:rsidRPr="005A4926" w:rsidRDefault="003E149C" w:rsidP="00C51386">
            <w:pPr>
              <w:pStyle w:val="Default"/>
              <w:jc w:val="both"/>
              <w:rPr>
                <w:szCs w:val="24"/>
              </w:rPr>
            </w:pPr>
            <w:r w:rsidRPr="005A4926">
              <w:rPr>
                <w:szCs w:val="24"/>
              </w:rPr>
              <w:t>Стебли кистей томатов должны быть свежими, здоровыми, чистыми, без листьев</w:t>
            </w:r>
          </w:p>
        </w:tc>
      </w:tr>
      <w:tr w:rsidR="009F58C0" w:rsidRPr="005A4926" w14:paraId="2BC1F91C" w14:textId="77777777" w:rsidTr="005A4926"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E140" w14:textId="77777777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00780" w14:textId="5D67C644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Допускаются незначительные поверхностные дефекты при условии, что они не влияют на общий внешний вид, качество, сохраняемость и товарный вид продукта.</w:t>
            </w:r>
          </w:p>
          <w:p w14:paraId="53AE0834" w14:textId="788BF2BE" w:rsidR="000802BB" w:rsidRPr="005A4926" w:rsidRDefault="000802BB" w:rsidP="00C51386">
            <w:pPr>
              <w:pStyle w:val="Default"/>
              <w:jc w:val="both"/>
              <w:rPr>
                <w:color w:val="auto"/>
                <w:szCs w:val="24"/>
              </w:rPr>
            </w:pPr>
            <w:r w:rsidRPr="005A4926">
              <w:rPr>
                <w:szCs w:val="24"/>
              </w:rPr>
              <w:t>Кроме того, допускается д</w:t>
            </w:r>
            <w:r w:rsidRPr="005A4926">
              <w:rPr>
                <w:color w:val="auto"/>
                <w:szCs w:val="24"/>
              </w:rPr>
              <w:t>ефект окраски до 10% площади плода.</w:t>
            </w:r>
          </w:p>
          <w:p w14:paraId="712E0295" w14:textId="567DA6BB" w:rsidR="000802BB" w:rsidRPr="005A4926" w:rsidRDefault="000802BB" w:rsidP="00C51386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A43ED71" w14:textId="77777777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F8EB7B" w14:textId="2FABC386" w:rsidR="003E149C" w:rsidRPr="005A4926" w:rsidRDefault="00A56ED8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 xml:space="preserve">Допускаются </w:t>
            </w:r>
            <w:r w:rsidR="00241E37" w:rsidRPr="005A4926">
              <w:rPr>
                <w:sz w:val="24"/>
                <w:szCs w:val="24"/>
              </w:rPr>
              <w:t xml:space="preserve">незначительный дефект формы и развития, </w:t>
            </w:r>
            <w:r w:rsidRPr="005A4926">
              <w:rPr>
                <w:sz w:val="24"/>
                <w:szCs w:val="24"/>
              </w:rPr>
              <w:t xml:space="preserve">незначительные выросты, небольшие неровности вокруг основания плода, </w:t>
            </w:r>
            <w:r w:rsidR="00241E37" w:rsidRPr="005A4926">
              <w:rPr>
                <w:sz w:val="24"/>
                <w:szCs w:val="24"/>
              </w:rPr>
              <w:t>дефект окраски до 20% от площади плода, в том числе до 10% площади плода золотистых пятен, п</w:t>
            </w:r>
            <w:r w:rsidR="009F58C0" w:rsidRPr="005A4926">
              <w:rPr>
                <w:sz w:val="24"/>
                <w:szCs w:val="24"/>
              </w:rPr>
              <w:t>отертости, царапины, концентрические микротрещины</w:t>
            </w:r>
            <w:r w:rsidR="000F4388" w:rsidRPr="005A4926">
              <w:rPr>
                <w:sz w:val="24"/>
                <w:szCs w:val="24"/>
              </w:rPr>
              <w:t xml:space="preserve">, </w:t>
            </w:r>
            <w:r w:rsidR="009F58C0" w:rsidRPr="005A4926">
              <w:rPr>
                <w:sz w:val="24"/>
                <w:szCs w:val="24"/>
              </w:rPr>
              <w:t xml:space="preserve">нажимы </w:t>
            </w:r>
            <w:r w:rsidR="002D590B" w:rsidRPr="005A4926">
              <w:rPr>
                <w:sz w:val="24"/>
                <w:szCs w:val="24"/>
              </w:rPr>
              <w:t xml:space="preserve">на площади </w:t>
            </w:r>
            <w:r w:rsidR="009F58C0" w:rsidRPr="005A4926">
              <w:rPr>
                <w:sz w:val="24"/>
                <w:szCs w:val="24"/>
              </w:rPr>
              <w:t xml:space="preserve">до 2 </w:t>
            </w:r>
            <w:r w:rsidR="005A4926" w:rsidRPr="005A4926">
              <w:rPr>
                <w:sz w:val="24"/>
                <w:szCs w:val="24"/>
              </w:rPr>
              <w:t>кв. см</w:t>
            </w:r>
            <w:r w:rsidR="009F58C0" w:rsidRPr="005A4926">
              <w:rPr>
                <w:sz w:val="24"/>
                <w:szCs w:val="24"/>
              </w:rPr>
              <w:t xml:space="preserve"> (для томатов черри и коктейльных томатов не более 1 кв.</w:t>
            </w:r>
            <w:r w:rsidR="005A4926">
              <w:rPr>
                <w:sz w:val="24"/>
                <w:szCs w:val="24"/>
              </w:rPr>
              <w:t xml:space="preserve"> </w:t>
            </w:r>
            <w:r w:rsidR="009F58C0" w:rsidRPr="005A4926">
              <w:rPr>
                <w:sz w:val="24"/>
                <w:szCs w:val="24"/>
              </w:rPr>
              <w:t xml:space="preserve">см). </w:t>
            </w:r>
          </w:p>
          <w:p w14:paraId="4A6EA8F2" w14:textId="6B78A9DE" w:rsidR="009F58C0" w:rsidRPr="005A4926" w:rsidRDefault="00241E37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Кроме того, для</w:t>
            </w:r>
            <w:r w:rsidR="009F58C0" w:rsidRPr="005A4926">
              <w:rPr>
                <w:sz w:val="24"/>
                <w:szCs w:val="24"/>
              </w:rPr>
              <w:t xml:space="preserve"> томатов </w:t>
            </w:r>
            <w:r w:rsidR="003E149C" w:rsidRPr="005A4926">
              <w:rPr>
                <w:sz w:val="24"/>
                <w:szCs w:val="24"/>
              </w:rPr>
              <w:t>диаметром более 80 мм</w:t>
            </w:r>
            <w:r w:rsidR="006661D0" w:rsidRPr="005A4926">
              <w:rPr>
                <w:sz w:val="24"/>
                <w:szCs w:val="24"/>
              </w:rPr>
              <w:t xml:space="preserve">, а также томатов </w:t>
            </w:r>
            <w:r w:rsidR="005A6734" w:rsidRPr="005A4926">
              <w:rPr>
                <w:sz w:val="24"/>
                <w:szCs w:val="24"/>
              </w:rPr>
              <w:t>ребристых</w:t>
            </w:r>
            <w:r w:rsidR="003E149C" w:rsidRPr="005A4926">
              <w:rPr>
                <w:sz w:val="24"/>
                <w:szCs w:val="24"/>
              </w:rPr>
              <w:t xml:space="preserve"> </w:t>
            </w:r>
            <w:r w:rsidR="009F58C0" w:rsidRPr="005A4926">
              <w:rPr>
                <w:sz w:val="24"/>
                <w:szCs w:val="24"/>
              </w:rPr>
              <w:t xml:space="preserve">допускаются </w:t>
            </w:r>
            <w:r w:rsidR="009F58C0" w:rsidRPr="005A4926">
              <w:rPr>
                <w:sz w:val="24"/>
                <w:szCs w:val="24"/>
              </w:rPr>
              <w:lastRenderedPageBreak/>
              <w:t>зарубцевавшиеся трещины длиной не более 1 см</w:t>
            </w:r>
            <w:r w:rsidR="00A56ED8" w:rsidRPr="005A4926">
              <w:rPr>
                <w:sz w:val="24"/>
                <w:szCs w:val="24"/>
              </w:rPr>
              <w:t>,</w:t>
            </w:r>
            <w:r w:rsidR="009F58C0" w:rsidRPr="005A4926">
              <w:rPr>
                <w:sz w:val="24"/>
                <w:szCs w:val="24"/>
              </w:rPr>
              <w:t xml:space="preserve"> тонкий шрам (цветочный рубец)</w:t>
            </w:r>
            <w:r w:rsidR="005A4926" w:rsidRPr="005A4926">
              <w:rPr>
                <w:sz w:val="24"/>
                <w:szCs w:val="24"/>
              </w:rPr>
              <w:t xml:space="preserve"> </w:t>
            </w:r>
            <w:r w:rsidR="009F58C0" w:rsidRPr="005A4926">
              <w:rPr>
                <w:sz w:val="24"/>
                <w:szCs w:val="24"/>
              </w:rPr>
              <w:t xml:space="preserve">удлиненной формы, не превышающий по длине двух третей наибольшего диаметра плода, </w:t>
            </w:r>
            <w:proofErr w:type="spellStart"/>
            <w:r w:rsidR="009F58C0" w:rsidRPr="005A4926">
              <w:rPr>
                <w:sz w:val="24"/>
                <w:szCs w:val="24"/>
              </w:rPr>
              <w:t>опробковелое</w:t>
            </w:r>
            <w:proofErr w:type="spellEnd"/>
            <w:r w:rsidR="009F58C0" w:rsidRPr="005A4926">
              <w:rPr>
                <w:sz w:val="24"/>
                <w:szCs w:val="24"/>
              </w:rPr>
              <w:t xml:space="preserve"> образование (разросшееся цветоложе) площадью не более 5 см.</w:t>
            </w:r>
            <w:r w:rsidR="005A4926">
              <w:rPr>
                <w:sz w:val="24"/>
                <w:szCs w:val="24"/>
              </w:rPr>
              <w:t xml:space="preserve"> </w:t>
            </w:r>
            <w:r w:rsidR="009F58C0" w:rsidRPr="005A4926">
              <w:rPr>
                <w:sz w:val="24"/>
                <w:szCs w:val="24"/>
              </w:rPr>
              <w:t>кв.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542EE6" w14:textId="35C62F66" w:rsidR="009F58C0" w:rsidRPr="005A4926" w:rsidRDefault="00A56ED8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lastRenderedPageBreak/>
              <w:t xml:space="preserve">Допускаются </w:t>
            </w:r>
            <w:r w:rsidR="00241E37" w:rsidRPr="005A4926">
              <w:rPr>
                <w:sz w:val="24"/>
                <w:szCs w:val="24"/>
              </w:rPr>
              <w:t xml:space="preserve">незначительный дефект формы и развития, </w:t>
            </w:r>
            <w:r w:rsidRPr="005A4926">
              <w:rPr>
                <w:sz w:val="24"/>
                <w:szCs w:val="24"/>
              </w:rPr>
              <w:t xml:space="preserve">выросты, неровности вокруг основания плода, </w:t>
            </w:r>
            <w:r w:rsidR="00241E37" w:rsidRPr="005A4926">
              <w:rPr>
                <w:sz w:val="24"/>
                <w:szCs w:val="24"/>
              </w:rPr>
              <w:t xml:space="preserve">дефект окраски, </w:t>
            </w:r>
            <w:r w:rsidR="009F58C0" w:rsidRPr="005A4926">
              <w:rPr>
                <w:sz w:val="24"/>
                <w:szCs w:val="24"/>
              </w:rPr>
              <w:t xml:space="preserve">потертости, царапины, </w:t>
            </w:r>
            <w:r w:rsidR="000F4388" w:rsidRPr="005A4926">
              <w:rPr>
                <w:sz w:val="24"/>
                <w:szCs w:val="24"/>
              </w:rPr>
              <w:t xml:space="preserve">концентрические микротрещины, </w:t>
            </w:r>
            <w:r w:rsidR="009F58C0" w:rsidRPr="005A4926">
              <w:rPr>
                <w:sz w:val="24"/>
                <w:szCs w:val="24"/>
              </w:rPr>
              <w:t>нажимы</w:t>
            </w:r>
            <w:r w:rsidR="000F4388" w:rsidRPr="005A4926">
              <w:rPr>
                <w:sz w:val="24"/>
                <w:szCs w:val="24"/>
              </w:rPr>
              <w:t>,</w:t>
            </w:r>
            <w:r w:rsidR="00241E37" w:rsidRPr="005A4926">
              <w:rPr>
                <w:sz w:val="24"/>
                <w:szCs w:val="24"/>
              </w:rPr>
              <w:t xml:space="preserve"> д</w:t>
            </w:r>
            <w:r w:rsidR="009F58C0" w:rsidRPr="005A4926">
              <w:rPr>
                <w:sz w:val="24"/>
                <w:szCs w:val="24"/>
              </w:rPr>
              <w:t xml:space="preserve">ефекты кожицы без повреждения мякоти (сухие пятна на кожице, шрамы, рубцы). </w:t>
            </w:r>
          </w:p>
          <w:p w14:paraId="4297DF02" w14:textId="53485F14" w:rsidR="009F58C0" w:rsidRPr="005A4926" w:rsidRDefault="00241E37" w:rsidP="00C51386">
            <w:pPr>
              <w:spacing w:after="0"/>
              <w:jc w:val="both"/>
              <w:rPr>
                <w:strike/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Кроме того, д</w:t>
            </w:r>
            <w:r w:rsidR="009F58C0" w:rsidRPr="005A4926">
              <w:rPr>
                <w:sz w:val="24"/>
                <w:szCs w:val="24"/>
              </w:rPr>
              <w:t xml:space="preserve">ля томатов </w:t>
            </w:r>
            <w:r w:rsidR="002D590B" w:rsidRPr="005A4926">
              <w:rPr>
                <w:sz w:val="24"/>
                <w:szCs w:val="24"/>
              </w:rPr>
              <w:t xml:space="preserve">диаметром более </w:t>
            </w:r>
            <w:r w:rsidR="000F4388" w:rsidRPr="005A4926">
              <w:rPr>
                <w:sz w:val="24"/>
                <w:szCs w:val="24"/>
              </w:rPr>
              <w:t>5</w:t>
            </w:r>
            <w:r w:rsidR="002D590B" w:rsidRPr="005A4926">
              <w:rPr>
                <w:sz w:val="24"/>
                <w:szCs w:val="24"/>
              </w:rPr>
              <w:t>0 мм</w:t>
            </w:r>
            <w:r w:rsidR="006661D0" w:rsidRPr="005A4926">
              <w:rPr>
                <w:sz w:val="24"/>
                <w:szCs w:val="24"/>
              </w:rPr>
              <w:t xml:space="preserve">, </w:t>
            </w:r>
            <w:r w:rsidR="009F58C0" w:rsidRPr="005A4926">
              <w:rPr>
                <w:sz w:val="24"/>
                <w:szCs w:val="24"/>
              </w:rPr>
              <w:t>допускаются трещины (сухие, без вытекания сока) длиной не более 3 см</w:t>
            </w:r>
            <w:r w:rsidR="00A56ED8" w:rsidRPr="005A4926">
              <w:rPr>
                <w:sz w:val="24"/>
                <w:szCs w:val="24"/>
              </w:rPr>
              <w:t>, тонкий шрам (цветочный рубец) удлиненной формы,</w:t>
            </w:r>
            <w:r w:rsidR="009F58C0" w:rsidRPr="005A4926">
              <w:rPr>
                <w:sz w:val="24"/>
                <w:szCs w:val="24"/>
              </w:rPr>
              <w:t xml:space="preserve"> </w:t>
            </w:r>
            <w:proofErr w:type="spellStart"/>
            <w:r w:rsidR="009F58C0" w:rsidRPr="005A4926">
              <w:rPr>
                <w:sz w:val="24"/>
                <w:szCs w:val="24"/>
              </w:rPr>
              <w:t>опробковел</w:t>
            </w:r>
            <w:r w:rsidR="00A56ED8" w:rsidRPr="005A4926">
              <w:rPr>
                <w:sz w:val="24"/>
                <w:szCs w:val="24"/>
              </w:rPr>
              <w:t>ое</w:t>
            </w:r>
            <w:proofErr w:type="spellEnd"/>
            <w:r w:rsidR="009F58C0" w:rsidRPr="005A4926">
              <w:rPr>
                <w:sz w:val="24"/>
                <w:szCs w:val="24"/>
              </w:rPr>
              <w:t xml:space="preserve"> </w:t>
            </w:r>
            <w:r w:rsidR="009F58C0" w:rsidRPr="005A4926">
              <w:rPr>
                <w:sz w:val="24"/>
                <w:szCs w:val="24"/>
              </w:rPr>
              <w:lastRenderedPageBreak/>
              <w:t>образование (разросше</w:t>
            </w:r>
            <w:r w:rsidR="000F4388" w:rsidRPr="005A4926">
              <w:rPr>
                <w:sz w:val="24"/>
                <w:szCs w:val="24"/>
              </w:rPr>
              <w:t>е</w:t>
            </w:r>
            <w:r w:rsidR="009F58C0" w:rsidRPr="005A4926">
              <w:rPr>
                <w:sz w:val="24"/>
                <w:szCs w:val="24"/>
              </w:rPr>
              <w:t xml:space="preserve">ся цветоложе) </w:t>
            </w:r>
          </w:p>
          <w:p w14:paraId="57532512" w14:textId="77777777" w:rsidR="009F58C0" w:rsidRPr="005A4926" w:rsidRDefault="009F58C0" w:rsidP="00C51386">
            <w:pPr>
              <w:pStyle w:val="Default"/>
              <w:jc w:val="both"/>
              <w:rPr>
                <w:color w:val="auto"/>
                <w:szCs w:val="24"/>
              </w:rPr>
            </w:pPr>
          </w:p>
        </w:tc>
      </w:tr>
      <w:tr w:rsidR="009F58C0" w:rsidRPr="005A4926" w14:paraId="3D96B6BE" w14:textId="77777777" w:rsidTr="005A4926">
        <w:trPr>
          <w:trHeight w:val="562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DE3C8" w14:textId="77777777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lastRenderedPageBreak/>
              <w:t>Состояние плодов</w:t>
            </w:r>
            <w:r w:rsidRPr="005A4926">
              <w:rPr>
                <w:sz w:val="24"/>
                <w:szCs w:val="24"/>
              </w:rPr>
              <w:tab/>
            </w:r>
          </w:p>
        </w:tc>
        <w:tc>
          <w:tcPr>
            <w:tcW w:w="7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CD3C7F" w14:textId="26DA1032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Плотные. Способные выдерживать транспортирование, погрузку, разгрузку и доставку к месту назначения.</w:t>
            </w:r>
          </w:p>
        </w:tc>
      </w:tr>
      <w:tr w:rsidR="009F58C0" w:rsidRPr="005A4926" w14:paraId="60F89934" w14:textId="77777777" w:rsidTr="005A4926">
        <w:trPr>
          <w:trHeight w:val="654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D725C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Запах и вкус</w:t>
            </w:r>
          </w:p>
        </w:tc>
        <w:tc>
          <w:tcPr>
            <w:tcW w:w="7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91D60" w14:textId="77777777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Свойственные данному ботаническому сорту, без постороннего запаха и (или) привкуса.</w:t>
            </w:r>
          </w:p>
        </w:tc>
      </w:tr>
      <w:tr w:rsidR="005A6734" w:rsidRPr="005A4926" w14:paraId="42234D4F" w14:textId="77777777" w:rsidTr="005A4926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30B3E" w14:textId="77777777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Массовая доля плодов, отпавших от кистей (для кистей томатов), %, не более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30BFD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</w:p>
          <w:p w14:paraId="32AFA0CF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5,0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B8EC03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</w:p>
          <w:p w14:paraId="4F42EC28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5,0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6A95CB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</w:p>
          <w:p w14:paraId="75016FB9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  <w:lang w:val="en-US"/>
              </w:rPr>
              <w:t>10</w:t>
            </w:r>
            <w:r w:rsidRPr="005A4926">
              <w:rPr>
                <w:sz w:val="24"/>
                <w:szCs w:val="24"/>
              </w:rPr>
              <w:t>,0</w:t>
            </w:r>
          </w:p>
          <w:p w14:paraId="53280A63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</w:p>
        </w:tc>
      </w:tr>
      <w:tr w:rsidR="009F58C0" w:rsidRPr="005A4926" w14:paraId="07ADF876" w14:textId="77777777" w:rsidTr="005A4926">
        <w:trPr>
          <w:trHeight w:val="591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9A544" w14:textId="77777777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Наличие сельскохозяйственных вредителей, %.</w:t>
            </w:r>
          </w:p>
        </w:tc>
        <w:tc>
          <w:tcPr>
            <w:tcW w:w="7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60C2E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Не допускается</w:t>
            </w:r>
          </w:p>
        </w:tc>
      </w:tr>
      <w:tr w:rsidR="009F58C0" w:rsidRPr="005A4926" w14:paraId="2B59D62B" w14:textId="77777777" w:rsidTr="005A4926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20AFC" w14:textId="77777777" w:rsidR="009F58C0" w:rsidRPr="005A4926" w:rsidRDefault="009F58C0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Наличие посторонней примеси</w:t>
            </w:r>
          </w:p>
        </w:tc>
        <w:tc>
          <w:tcPr>
            <w:tcW w:w="7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C13A1" w14:textId="77777777" w:rsidR="009F58C0" w:rsidRPr="005A4926" w:rsidRDefault="009F58C0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Не допускается</w:t>
            </w:r>
          </w:p>
        </w:tc>
      </w:tr>
      <w:tr w:rsidR="00BA61DC" w:rsidRPr="005A4926" w14:paraId="0F78B9C6" w14:textId="77777777" w:rsidTr="005A4926">
        <w:trPr>
          <w:trHeight w:val="1966"/>
        </w:trPr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E4AB2" w14:textId="77777777" w:rsidR="00BA61DC" w:rsidRPr="005A4926" w:rsidRDefault="00BA61DC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Массовая доля (количество) плодов томатов, с характеристиками ниже указанного товарного сорта, %, не более: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44955" w14:textId="77777777" w:rsidR="00BA61DC" w:rsidRPr="005A4926" w:rsidRDefault="00BA61DC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10,0 (в том числе до 5 % плодов томатов, соответствующих требованиям второго сорта)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E2456" w14:textId="77777777" w:rsidR="00BA61DC" w:rsidRPr="005A4926" w:rsidRDefault="00BA61DC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10,0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4C4A4" w14:textId="77777777" w:rsidR="00BA61DC" w:rsidRPr="005A4926" w:rsidRDefault="00BA61DC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10,0</w:t>
            </w:r>
          </w:p>
        </w:tc>
      </w:tr>
      <w:tr w:rsidR="005A6734" w:rsidRPr="005A4926" w14:paraId="1220E9A9" w14:textId="77777777" w:rsidTr="005A4926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7B8D84" w14:textId="7DBC00F1" w:rsidR="00BA61DC" w:rsidRPr="005A4926" w:rsidRDefault="00BA61DC" w:rsidP="00C51386">
            <w:pPr>
              <w:spacing w:after="0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– в том числе плодов, с характеристиками ниже томатов второго</w:t>
            </w:r>
            <w:r w:rsidR="00954AEA" w:rsidRPr="005A4926">
              <w:rPr>
                <w:sz w:val="24"/>
                <w:szCs w:val="24"/>
              </w:rPr>
              <w:t xml:space="preserve"> товарного</w:t>
            </w:r>
            <w:r w:rsidRPr="005A4926">
              <w:rPr>
                <w:sz w:val="24"/>
                <w:szCs w:val="24"/>
              </w:rPr>
              <w:t xml:space="preserve"> сорта, %, не более: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0B75B" w14:textId="77777777" w:rsidR="00BA61DC" w:rsidRPr="005A4926" w:rsidRDefault="00BA61DC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1,0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B6CC97" w14:textId="77777777" w:rsidR="00BA61DC" w:rsidRPr="005A4926" w:rsidRDefault="00BA61DC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5,0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D38EFB" w14:textId="77777777" w:rsidR="00BA61DC" w:rsidRPr="005A4926" w:rsidRDefault="00BA61DC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>10,0</w:t>
            </w:r>
          </w:p>
        </w:tc>
      </w:tr>
      <w:tr w:rsidR="00BA61DC" w:rsidRPr="005A4926" w14:paraId="246D2201" w14:textId="77777777" w:rsidTr="005A4926"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D16B6" w14:textId="6A6E71A1" w:rsidR="00BA61DC" w:rsidRPr="005A4926" w:rsidRDefault="002228C5" w:rsidP="00C51386">
            <w:pPr>
              <w:spacing w:after="0" w:line="315" w:lineRule="atLeast"/>
              <w:jc w:val="both"/>
              <w:rPr>
                <w:sz w:val="24"/>
                <w:szCs w:val="24"/>
              </w:rPr>
            </w:pPr>
            <w:r w:rsidRPr="005A4926">
              <w:rPr>
                <w:sz w:val="24"/>
                <w:szCs w:val="24"/>
              </w:rPr>
              <w:t xml:space="preserve">* </w:t>
            </w:r>
            <w:r w:rsidRPr="005A4926">
              <w:rPr>
                <w:sz w:val="24"/>
                <w:szCs w:val="24"/>
              </w:rPr>
              <w:softHyphen/>
            </w:r>
            <w:r w:rsidR="0066295F" w:rsidRPr="005A4926">
              <w:rPr>
                <w:sz w:val="24"/>
                <w:szCs w:val="24"/>
              </w:rPr>
              <w:t xml:space="preserve"> требование</w:t>
            </w:r>
            <w:r w:rsidRPr="005A4926">
              <w:rPr>
                <w:sz w:val="24"/>
                <w:szCs w:val="24"/>
              </w:rPr>
              <w:t xml:space="preserve"> </w:t>
            </w:r>
            <w:r w:rsidR="0066295F" w:rsidRPr="005A4926">
              <w:rPr>
                <w:sz w:val="24"/>
                <w:szCs w:val="24"/>
              </w:rPr>
              <w:t xml:space="preserve">не применяется в случае поставки томатов без каких-либо признаков спелости </w:t>
            </w:r>
          </w:p>
        </w:tc>
      </w:tr>
    </w:tbl>
    <w:p w14:paraId="1AF80135" w14:textId="4F16B4E2" w:rsidR="0080416E" w:rsidRDefault="0080416E" w:rsidP="00C51386">
      <w:pPr>
        <w:spacing w:after="0"/>
        <w:ind w:firstLine="720"/>
        <w:jc w:val="both"/>
        <w:rPr>
          <w:b/>
          <w:bCs/>
          <w:sz w:val="24"/>
          <w:szCs w:val="24"/>
        </w:rPr>
      </w:pPr>
    </w:p>
    <w:p w14:paraId="352616B2" w14:textId="0741FFBC" w:rsidR="0080416E" w:rsidRPr="002770E5" w:rsidRDefault="005A4926" w:rsidP="00C51386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По</w:t>
      </w:r>
      <w:r w:rsidR="0080416E" w:rsidRPr="002770E5">
        <w:rPr>
          <w:szCs w:val="28"/>
        </w:rPr>
        <w:t xml:space="preserve">дпункты 5.3.1-5.3.2 изложить в следующей редакции: </w:t>
      </w:r>
    </w:p>
    <w:p w14:paraId="475EA04C" w14:textId="5CBA5945" w:rsidR="0080416E" w:rsidRPr="002770E5" w:rsidRDefault="0080416E" w:rsidP="00C51386">
      <w:pPr>
        <w:spacing w:after="0"/>
        <w:ind w:firstLine="720"/>
        <w:jc w:val="both"/>
        <w:rPr>
          <w:szCs w:val="28"/>
        </w:rPr>
      </w:pPr>
      <w:r w:rsidRPr="002770E5">
        <w:rPr>
          <w:szCs w:val="28"/>
        </w:rPr>
        <w:t>«5.3.1. Калибровка является обязательной для свежих томатов высшего сорта.</w:t>
      </w:r>
    </w:p>
    <w:p w14:paraId="73FF90FE" w14:textId="2474B3C8" w:rsidR="0080416E" w:rsidRDefault="0080416E" w:rsidP="00C51386">
      <w:pPr>
        <w:spacing w:after="0"/>
        <w:ind w:firstLine="720"/>
        <w:jc w:val="both"/>
        <w:rPr>
          <w:szCs w:val="28"/>
        </w:rPr>
      </w:pPr>
      <w:r w:rsidRPr="002770E5">
        <w:rPr>
          <w:szCs w:val="28"/>
        </w:rPr>
        <w:t xml:space="preserve">5.3.2 Требования к калибровке не применяются </w:t>
      </w:r>
      <w:r w:rsidR="00A85495" w:rsidRPr="002770E5">
        <w:rPr>
          <w:szCs w:val="28"/>
        </w:rPr>
        <w:t>к кистям томатов, черри и ко</w:t>
      </w:r>
      <w:r w:rsidR="000D096B" w:rsidRPr="002770E5">
        <w:rPr>
          <w:szCs w:val="28"/>
        </w:rPr>
        <w:t>ктейльным томатам, а также к ребристым томатам.»</w:t>
      </w:r>
    </w:p>
    <w:p w14:paraId="2C21CBB6" w14:textId="710F79EE" w:rsidR="002770E5" w:rsidRDefault="002770E5" w:rsidP="00C51386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Подпункт 5.3.5 изложить в редакции:</w:t>
      </w:r>
    </w:p>
    <w:p w14:paraId="79C58FDA" w14:textId="014076DB" w:rsidR="002770E5" w:rsidRDefault="002770E5" w:rsidP="00C51386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2770E5">
        <w:rPr>
          <w:szCs w:val="28"/>
        </w:rPr>
        <w:t xml:space="preserve">5.3.5 </w:t>
      </w:r>
      <w:r>
        <w:rPr>
          <w:szCs w:val="28"/>
        </w:rPr>
        <w:t xml:space="preserve">В случае калибровки томатов производитель вправе вместо размера плода указывать код калибра. </w:t>
      </w:r>
      <w:r w:rsidRPr="002770E5">
        <w:rPr>
          <w:szCs w:val="28"/>
        </w:rPr>
        <w:t>При указании кода калибра диаметр плода должен соответствовать нормам, указанным в</w:t>
      </w:r>
      <w:r>
        <w:rPr>
          <w:szCs w:val="28"/>
        </w:rPr>
        <w:t xml:space="preserve"> </w:t>
      </w:r>
      <w:r w:rsidRPr="002770E5">
        <w:rPr>
          <w:szCs w:val="28"/>
        </w:rPr>
        <w:t>таблице 3.</w:t>
      </w:r>
      <w:r w:rsidR="007F5E7D">
        <w:rPr>
          <w:szCs w:val="28"/>
        </w:rPr>
        <w:t>»</w:t>
      </w:r>
    </w:p>
    <w:p w14:paraId="418BBF79" w14:textId="57DB2B52" w:rsidR="00F030B0" w:rsidRPr="001B72E2" w:rsidRDefault="007F5E7D" w:rsidP="00C51386">
      <w:pPr>
        <w:spacing w:after="0"/>
        <w:ind w:firstLine="720"/>
        <w:jc w:val="both"/>
        <w:rPr>
          <w:b/>
          <w:bCs/>
          <w:szCs w:val="28"/>
        </w:rPr>
      </w:pPr>
      <w:r>
        <w:rPr>
          <w:szCs w:val="28"/>
        </w:rPr>
        <w:t xml:space="preserve">В подпункте 5.5.7 </w:t>
      </w:r>
      <w:r w:rsidR="001B72E2">
        <w:rPr>
          <w:szCs w:val="28"/>
        </w:rPr>
        <w:t xml:space="preserve">исключить </w:t>
      </w:r>
      <w:r w:rsidR="001B72E2" w:rsidRPr="001B72E2">
        <w:rPr>
          <w:szCs w:val="28"/>
        </w:rPr>
        <w:t>слова «</w:t>
      </w:r>
      <w:r w:rsidR="00F030B0" w:rsidRPr="001B72E2">
        <w:rPr>
          <w:szCs w:val="28"/>
        </w:rPr>
        <w:t>и в отношении каждого ботанического сорта, товарного типа и/или окраски являются однородными по происхождению».</w:t>
      </w:r>
    </w:p>
    <w:p w14:paraId="2CED06D7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bookmarkStart w:id="3" w:name="_Hlk164441826"/>
      <w:r w:rsidRPr="005A4926">
        <w:rPr>
          <w:szCs w:val="28"/>
        </w:rPr>
        <w:t>Пункт 5.6.2 Изложить в новой редакции:</w:t>
      </w:r>
    </w:p>
    <w:p w14:paraId="1C2C37B4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«5.6.2 Информация, наносимая на потребительскую упаковочную единицу свежих томатов, должна содержать:</w:t>
      </w:r>
    </w:p>
    <w:p w14:paraId="6761C6CF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наименование продукта («Томаты» или «Кисти томатов»);</w:t>
      </w:r>
    </w:p>
    <w:p w14:paraId="2D14EBE9" w14:textId="57C35823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 xml:space="preserve">- товарный тип (указывается обязательно для томатов черри и коктейльных томатов, независимо от того, поставляются они в кистях или нет, для остальных томатов </w:t>
      </w:r>
      <w:r w:rsidR="00733252">
        <w:rPr>
          <w:szCs w:val="28"/>
        </w:rPr>
        <w:t>–</w:t>
      </w:r>
      <w:r w:rsidR="007F5E7D" w:rsidRPr="005A4926">
        <w:rPr>
          <w:szCs w:val="28"/>
        </w:rPr>
        <w:t xml:space="preserve"> </w:t>
      </w:r>
      <w:r w:rsidR="00733252">
        <w:rPr>
          <w:szCs w:val="28"/>
        </w:rPr>
        <w:t>в добровольном порядке</w:t>
      </w:r>
      <w:r w:rsidRPr="005A4926">
        <w:rPr>
          <w:szCs w:val="28"/>
        </w:rPr>
        <w:t>);</w:t>
      </w:r>
    </w:p>
    <w:p w14:paraId="0A1A7BAA" w14:textId="49D8F882" w:rsidR="00280437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наименование формы и окраски в соответствии с пунктом 4.3 (</w:t>
      </w:r>
      <w:r w:rsidR="00733252">
        <w:rPr>
          <w:szCs w:val="28"/>
        </w:rPr>
        <w:t>в добровольном порядке</w:t>
      </w:r>
      <w:r w:rsidRPr="005A4926">
        <w:rPr>
          <w:szCs w:val="28"/>
        </w:rPr>
        <w:t xml:space="preserve">). </w:t>
      </w:r>
    </w:p>
    <w:p w14:paraId="3C5256AE" w14:textId="0ADE381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В случае упаковок, содержащих смесь плодов томатов различных товарных типов и(или) окраски и(или) формы указывают «Смесь томатов»</w:t>
      </w:r>
      <w:r w:rsidR="001B2725" w:rsidRPr="005A4926">
        <w:rPr>
          <w:szCs w:val="28"/>
        </w:rPr>
        <w:t>, «Микс томатов» или аналогичные по смыслу слова</w:t>
      </w:r>
      <w:r w:rsidRPr="005A4926">
        <w:rPr>
          <w:szCs w:val="28"/>
        </w:rPr>
        <w:t>. Если продукт не виден снаружи, должны указываться товарные типы и(или) окраска и(или) форма и количество томатов каждого из них в упаковке;</w:t>
      </w:r>
    </w:p>
    <w:p w14:paraId="3DD42056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наименование и место нахождения изготовителя или фамилию, имя, отчество индивидуального предпринимателя-изготовителя, наименование и место нахождения уполномоченного изготовителем лица, наименование и место нахождения организации-импортера или фамилию, имя, отчество</w:t>
      </w:r>
    </w:p>
    <w:p w14:paraId="0DE955E4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индивидуального предпринимателя-импортера;</w:t>
      </w:r>
    </w:p>
    <w:p w14:paraId="4B90CCB7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товарный знак изготовителя (при наличии);</w:t>
      </w:r>
    </w:p>
    <w:p w14:paraId="6425618B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массу нетто;</w:t>
      </w:r>
    </w:p>
    <w:p w14:paraId="091BFC6C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товарный сорт;</w:t>
      </w:r>
    </w:p>
    <w:p w14:paraId="11AF766E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страну происхождения и, при необходимости, района производства или его национального, регионального или местного наименования;</w:t>
      </w:r>
    </w:p>
    <w:p w14:paraId="135F2079" w14:textId="63A103C5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 xml:space="preserve">- </w:t>
      </w:r>
      <w:r w:rsidR="001B2725" w:rsidRPr="005A4926">
        <w:rPr>
          <w:szCs w:val="28"/>
        </w:rPr>
        <w:t>минимальный размер плода в упаковке</w:t>
      </w:r>
      <w:r w:rsidR="00280437" w:rsidRPr="005A4926">
        <w:rPr>
          <w:szCs w:val="28"/>
        </w:rPr>
        <w:t xml:space="preserve"> или код калибра (если производителем осуществлялась калибровка томатов в соответствии с пунктом 5.3 настоящего стандарта); </w:t>
      </w:r>
    </w:p>
    <w:p w14:paraId="436D7283" w14:textId="56C99785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дату изготовления и (или) дату упаковывания;</w:t>
      </w:r>
    </w:p>
    <w:p w14:paraId="58CEDA0A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срок годности;</w:t>
      </w:r>
    </w:p>
    <w:p w14:paraId="128F924B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условия хранения;</w:t>
      </w:r>
    </w:p>
    <w:p w14:paraId="28EC06DD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сведения о применении генно-модифицированных организмов: в том случае, если продукция содержит более 0,9% генно-модифицированных организмов, в маркировке приводят информацию об их наличии (например, «генно-модифицированный продукт»);</w:t>
      </w:r>
    </w:p>
    <w:p w14:paraId="01D007EF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обозначение настоящего стандарта;</w:t>
      </w:r>
    </w:p>
    <w:p w14:paraId="24CCFF6B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>- единый знак обращения на рынке государств – членов Евразийского экономического союза (для продукции, предназначенной для реализации в государствах-членах ЕАЭС) или информацию о подтверждении соответствия (для продукции, предназначенной для реализации в иных государствах).</w:t>
      </w:r>
    </w:p>
    <w:p w14:paraId="46DCD44E" w14:textId="77777777" w:rsidR="00330202" w:rsidRPr="005A4926" w:rsidRDefault="00330202" w:rsidP="00C51386">
      <w:pPr>
        <w:spacing w:after="0"/>
        <w:ind w:firstLine="720"/>
        <w:jc w:val="both"/>
        <w:rPr>
          <w:szCs w:val="28"/>
        </w:rPr>
      </w:pPr>
    </w:p>
    <w:p w14:paraId="5CDA7D5E" w14:textId="2B3FBA5A" w:rsidR="00F030B0" w:rsidRPr="001B2725" w:rsidRDefault="00F030B0" w:rsidP="00C51386">
      <w:pPr>
        <w:spacing w:after="0"/>
        <w:ind w:firstLine="720"/>
        <w:jc w:val="both"/>
        <w:rPr>
          <w:szCs w:val="28"/>
        </w:rPr>
      </w:pPr>
      <w:r w:rsidRPr="005A4926">
        <w:rPr>
          <w:szCs w:val="28"/>
        </w:rPr>
        <w:t xml:space="preserve">Раздел 6, пункт 6.1 </w:t>
      </w:r>
      <w:r w:rsidRPr="001B2725">
        <w:rPr>
          <w:szCs w:val="28"/>
        </w:rPr>
        <w:t>изложить в редакции:</w:t>
      </w:r>
    </w:p>
    <w:p w14:paraId="450859BD" w14:textId="76B55035" w:rsidR="00F030B0" w:rsidRPr="005A4926" w:rsidRDefault="001B2725" w:rsidP="00C51386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 xml:space="preserve">«6.1. </w:t>
      </w:r>
      <w:r w:rsidR="00F030B0" w:rsidRPr="001B2725">
        <w:rPr>
          <w:szCs w:val="28"/>
        </w:rPr>
        <w:t>Томаты принимают партиями. Под партией понимают любое количество томатов одного товарного сорта</w:t>
      </w:r>
      <w:r w:rsidRPr="001B2725">
        <w:rPr>
          <w:szCs w:val="28"/>
        </w:rPr>
        <w:t>,</w:t>
      </w:r>
      <w:r w:rsidR="00F030B0" w:rsidRPr="001B2725">
        <w:rPr>
          <w:szCs w:val="28"/>
        </w:rPr>
        <w:t xml:space="preserve"> поступившее в одном транспортном средстве и оформленное товаросопроводительным документом, обеспечивающим ее прослеживаемость.</w:t>
      </w:r>
      <w:r>
        <w:rPr>
          <w:szCs w:val="28"/>
        </w:rPr>
        <w:t>»</w:t>
      </w:r>
      <w:r w:rsidR="00F030B0" w:rsidRPr="005A4926">
        <w:rPr>
          <w:szCs w:val="28"/>
        </w:rPr>
        <w:t xml:space="preserve">  </w:t>
      </w:r>
    </w:p>
    <w:p w14:paraId="34C4D389" w14:textId="77777777" w:rsidR="005A4926" w:rsidRDefault="005A4926" w:rsidP="00C51386">
      <w:pPr>
        <w:spacing w:after="0"/>
        <w:ind w:firstLine="720"/>
        <w:jc w:val="both"/>
        <w:rPr>
          <w:szCs w:val="28"/>
        </w:rPr>
      </w:pPr>
      <w:bookmarkStart w:id="4" w:name="_Hlk164442651"/>
      <w:bookmarkEnd w:id="3"/>
    </w:p>
    <w:p w14:paraId="308C36D3" w14:textId="77777777" w:rsidR="00E21726" w:rsidRDefault="00E21726" w:rsidP="00001DA0">
      <w:pPr>
        <w:spacing w:after="0"/>
        <w:jc w:val="both"/>
        <w:rPr>
          <w:szCs w:val="28"/>
        </w:rPr>
      </w:pPr>
      <w:bookmarkStart w:id="5" w:name="_GoBack"/>
      <w:bookmarkEnd w:id="0"/>
      <w:bookmarkEnd w:id="4"/>
      <w:bookmarkEnd w:id="5"/>
    </w:p>
    <w:p w14:paraId="4765A8B9" w14:textId="74A1B412" w:rsidR="00001DA0" w:rsidRDefault="00001DA0" w:rsidP="00001DA0">
      <w:pPr>
        <w:spacing w:after="0"/>
        <w:jc w:val="both"/>
        <w:rPr>
          <w:szCs w:val="28"/>
        </w:rPr>
      </w:pPr>
      <w:r>
        <w:rPr>
          <w:szCs w:val="28"/>
        </w:rPr>
        <w:t>Директор по правовым вопросам</w:t>
      </w:r>
    </w:p>
    <w:p w14:paraId="2206A982" w14:textId="482AE47C" w:rsidR="00001DA0" w:rsidRPr="001650E3" w:rsidRDefault="00E21726" w:rsidP="00001DA0">
      <w:pPr>
        <w:spacing w:after="0"/>
        <w:jc w:val="both"/>
        <w:rPr>
          <w:szCs w:val="28"/>
        </w:rPr>
      </w:pPr>
      <w:r w:rsidRPr="00E21726">
        <w:rPr>
          <w:szCs w:val="28"/>
        </w:rPr>
        <w:t>Плодоовощно</w:t>
      </w:r>
      <w:r>
        <w:rPr>
          <w:szCs w:val="28"/>
        </w:rPr>
        <w:t>го</w:t>
      </w:r>
      <w:r w:rsidRPr="00E21726">
        <w:rPr>
          <w:szCs w:val="28"/>
        </w:rPr>
        <w:t xml:space="preserve"> Союз</w:t>
      </w:r>
      <w:r>
        <w:rPr>
          <w:szCs w:val="28"/>
        </w:rPr>
        <w:t xml:space="preserve">а                                                         Е.С. </w:t>
      </w:r>
      <w:r w:rsidRPr="00E21726">
        <w:rPr>
          <w:szCs w:val="28"/>
        </w:rPr>
        <w:t>Самощенко</w:t>
      </w:r>
    </w:p>
    <w:sectPr w:rsidR="00001DA0" w:rsidRPr="001650E3" w:rsidSect="005A4926">
      <w:headerReference w:type="default" r:id="rId8"/>
      <w:footnotePr>
        <w:pos w:val="beneathText"/>
      </w:footnotePr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0B2C7" w14:textId="77777777" w:rsidR="00585A22" w:rsidRDefault="00585A22" w:rsidP="00241E37">
      <w:pPr>
        <w:spacing w:after="0" w:line="240" w:lineRule="auto"/>
      </w:pPr>
      <w:r>
        <w:separator/>
      </w:r>
    </w:p>
  </w:endnote>
  <w:endnote w:type="continuationSeparator" w:id="0">
    <w:p w14:paraId="336A93CB" w14:textId="77777777" w:rsidR="00585A22" w:rsidRDefault="00585A22" w:rsidP="0024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517BD" w14:textId="77777777" w:rsidR="00585A22" w:rsidRDefault="00585A22" w:rsidP="00241E37">
      <w:pPr>
        <w:spacing w:after="0" w:line="240" w:lineRule="auto"/>
      </w:pPr>
      <w:r>
        <w:separator/>
      </w:r>
    </w:p>
  </w:footnote>
  <w:footnote w:type="continuationSeparator" w:id="0">
    <w:p w14:paraId="3A883BBE" w14:textId="77777777" w:rsidR="00585A22" w:rsidRDefault="00585A22" w:rsidP="0024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289624"/>
      <w:docPartObj>
        <w:docPartGallery w:val="Page Numbers (Top of Page)"/>
        <w:docPartUnique/>
      </w:docPartObj>
    </w:sdtPr>
    <w:sdtEndPr/>
    <w:sdtContent>
      <w:p w14:paraId="11DAA2F5" w14:textId="20C3D552" w:rsidR="005A4926" w:rsidRDefault="005A492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0CF">
          <w:rPr>
            <w:noProof/>
          </w:rPr>
          <w:t>5</w:t>
        </w:r>
        <w:r>
          <w:fldChar w:fldCharType="end"/>
        </w:r>
      </w:p>
    </w:sdtContent>
  </w:sdt>
  <w:p w14:paraId="608532A6" w14:textId="77777777" w:rsidR="005A4926" w:rsidRDefault="005A4926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C0"/>
    <w:rsid w:val="00001DA0"/>
    <w:rsid w:val="000540CF"/>
    <w:rsid w:val="000802BB"/>
    <w:rsid w:val="000D096B"/>
    <w:rsid w:val="000F4388"/>
    <w:rsid w:val="001650E3"/>
    <w:rsid w:val="001B2725"/>
    <w:rsid w:val="001B72E2"/>
    <w:rsid w:val="002228C5"/>
    <w:rsid w:val="00241E37"/>
    <w:rsid w:val="002526FD"/>
    <w:rsid w:val="002770E5"/>
    <w:rsid w:val="00280437"/>
    <w:rsid w:val="002D590B"/>
    <w:rsid w:val="002D7D5B"/>
    <w:rsid w:val="00330202"/>
    <w:rsid w:val="00383D0B"/>
    <w:rsid w:val="003E149C"/>
    <w:rsid w:val="004C20ED"/>
    <w:rsid w:val="004C65CD"/>
    <w:rsid w:val="00500A06"/>
    <w:rsid w:val="00585A22"/>
    <w:rsid w:val="005A4926"/>
    <w:rsid w:val="005A6734"/>
    <w:rsid w:val="005B6293"/>
    <w:rsid w:val="005F0633"/>
    <w:rsid w:val="0066295F"/>
    <w:rsid w:val="006661D0"/>
    <w:rsid w:val="006A1EA0"/>
    <w:rsid w:val="00733252"/>
    <w:rsid w:val="007861E8"/>
    <w:rsid w:val="007F5E7D"/>
    <w:rsid w:val="0080416E"/>
    <w:rsid w:val="00861009"/>
    <w:rsid w:val="008A0A0B"/>
    <w:rsid w:val="00954AEA"/>
    <w:rsid w:val="009F58C0"/>
    <w:rsid w:val="00A56ED8"/>
    <w:rsid w:val="00A85495"/>
    <w:rsid w:val="00BA61DC"/>
    <w:rsid w:val="00BA7504"/>
    <w:rsid w:val="00C51386"/>
    <w:rsid w:val="00E21726"/>
    <w:rsid w:val="00F030B0"/>
    <w:rsid w:val="00F177D8"/>
    <w:rsid w:val="00F93973"/>
    <w:rsid w:val="00F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84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?????? ?????????"/>
  </w:style>
  <w:style w:type="character" w:customStyle="1" w:styleId="a4">
    <w:name w:val="??????? ??????"/>
    <w:rPr>
      <w:rFonts w:ascii="OpenSymbol" w:hAnsi="OpenSymbol"/>
    </w:rPr>
  </w:style>
  <w:style w:type="paragraph" w:customStyle="1" w:styleId="a5">
    <w:name w:val="?????????"/>
    <w:basedOn w:val="a"/>
    <w:next w:val="a6"/>
    <w:pPr>
      <w:keepNext/>
      <w:spacing w:before="240" w:after="120"/>
    </w:pPr>
    <w:rPr>
      <w:rFonts w:ascii="Arial" w:hAnsi="Arial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</w:style>
  <w:style w:type="paragraph" w:customStyle="1" w:styleId="a8">
    <w:name w:val="????????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?????????"/>
    <w:basedOn w:val="a"/>
    <w:pPr>
      <w:suppressLineNumbers/>
    </w:pPr>
  </w:style>
  <w:style w:type="paragraph" w:customStyle="1" w:styleId="Default">
    <w:name w:val="Default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color w:val="000000"/>
      <w:sz w:val="24"/>
    </w:rPr>
  </w:style>
  <w:style w:type="paragraph" w:styleId="aa">
    <w:name w:val="annotation text"/>
    <w:basedOn w:val="a"/>
    <w:link w:val="ab"/>
    <w:semiHidden/>
    <w:unhideWhenUsed/>
    <w:rsid w:val="009F58C0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sz w:val="20"/>
    </w:rPr>
  </w:style>
  <w:style w:type="character" w:customStyle="1" w:styleId="ab">
    <w:name w:val="Текст примечания Знак"/>
    <w:basedOn w:val="a0"/>
    <w:link w:val="aa"/>
    <w:semiHidden/>
    <w:rsid w:val="009F58C0"/>
  </w:style>
  <w:style w:type="paragraph" w:styleId="ac">
    <w:name w:val="footnote text"/>
    <w:basedOn w:val="a"/>
    <w:link w:val="ad"/>
    <w:uiPriority w:val="99"/>
    <w:semiHidden/>
    <w:unhideWhenUsed/>
    <w:rsid w:val="00241E37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41E37"/>
  </w:style>
  <w:style w:type="character" w:styleId="ae">
    <w:name w:val="footnote reference"/>
    <w:basedOn w:val="a0"/>
    <w:uiPriority w:val="99"/>
    <w:semiHidden/>
    <w:unhideWhenUsed/>
    <w:rsid w:val="00241E37"/>
    <w:rPr>
      <w:vertAlign w:val="superscript"/>
    </w:rPr>
  </w:style>
  <w:style w:type="paragraph" w:customStyle="1" w:styleId="formattext">
    <w:name w:val="formattext"/>
    <w:basedOn w:val="a"/>
    <w:rsid w:val="00F030B0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66295F"/>
    <w:rPr>
      <w:sz w:val="16"/>
      <w:szCs w:val="16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6295F"/>
    <w:pPr>
      <w:suppressAutoHyphens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6295F"/>
    <w:rPr>
      <w:b/>
      <w:bCs/>
    </w:rPr>
  </w:style>
  <w:style w:type="paragraph" w:styleId="af2">
    <w:name w:val="Revision"/>
    <w:hidden/>
    <w:uiPriority w:val="99"/>
    <w:semiHidden/>
    <w:rsid w:val="0066295F"/>
    <w:rPr>
      <w:sz w:val="28"/>
    </w:rPr>
  </w:style>
  <w:style w:type="paragraph" w:styleId="af3">
    <w:name w:val="header"/>
    <w:basedOn w:val="a"/>
    <w:link w:val="af4"/>
    <w:uiPriority w:val="99"/>
    <w:unhideWhenUsed/>
    <w:rsid w:val="005A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A4926"/>
    <w:rPr>
      <w:sz w:val="28"/>
    </w:rPr>
  </w:style>
  <w:style w:type="paragraph" w:styleId="af5">
    <w:name w:val="footer"/>
    <w:basedOn w:val="a"/>
    <w:link w:val="af6"/>
    <w:uiPriority w:val="99"/>
    <w:unhideWhenUsed/>
    <w:rsid w:val="005A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A492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?????? ?????????"/>
  </w:style>
  <w:style w:type="character" w:customStyle="1" w:styleId="a4">
    <w:name w:val="??????? ??????"/>
    <w:rPr>
      <w:rFonts w:ascii="OpenSymbol" w:hAnsi="OpenSymbol"/>
    </w:rPr>
  </w:style>
  <w:style w:type="paragraph" w:customStyle="1" w:styleId="a5">
    <w:name w:val="?????????"/>
    <w:basedOn w:val="a"/>
    <w:next w:val="a6"/>
    <w:pPr>
      <w:keepNext/>
      <w:spacing w:before="240" w:after="120"/>
    </w:pPr>
    <w:rPr>
      <w:rFonts w:ascii="Arial" w:hAnsi="Arial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</w:style>
  <w:style w:type="paragraph" w:customStyle="1" w:styleId="a8">
    <w:name w:val="????????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?????????"/>
    <w:basedOn w:val="a"/>
    <w:pPr>
      <w:suppressLineNumbers/>
    </w:pPr>
  </w:style>
  <w:style w:type="paragraph" w:customStyle="1" w:styleId="Default">
    <w:name w:val="Default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color w:val="000000"/>
      <w:sz w:val="24"/>
    </w:rPr>
  </w:style>
  <w:style w:type="paragraph" w:styleId="aa">
    <w:name w:val="annotation text"/>
    <w:basedOn w:val="a"/>
    <w:link w:val="ab"/>
    <w:semiHidden/>
    <w:unhideWhenUsed/>
    <w:rsid w:val="009F58C0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sz w:val="20"/>
    </w:rPr>
  </w:style>
  <w:style w:type="character" w:customStyle="1" w:styleId="ab">
    <w:name w:val="Текст примечания Знак"/>
    <w:basedOn w:val="a0"/>
    <w:link w:val="aa"/>
    <w:semiHidden/>
    <w:rsid w:val="009F58C0"/>
  </w:style>
  <w:style w:type="paragraph" w:styleId="ac">
    <w:name w:val="footnote text"/>
    <w:basedOn w:val="a"/>
    <w:link w:val="ad"/>
    <w:uiPriority w:val="99"/>
    <w:semiHidden/>
    <w:unhideWhenUsed/>
    <w:rsid w:val="00241E37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41E37"/>
  </w:style>
  <w:style w:type="character" w:styleId="ae">
    <w:name w:val="footnote reference"/>
    <w:basedOn w:val="a0"/>
    <w:uiPriority w:val="99"/>
    <w:semiHidden/>
    <w:unhideWhenUsed/>
    <w:rsid w:val="00241E37"/>
    <w:rPr>
      <w:vertAlign w:val="superscript"/>
    </w:rPr>
  </w:style>
  <w:style w:type="paragraph" w:customStyle="1" w:styleId="formattext">
    <w:name w:val="formattext"/>
    <w:basedOn w:val="a"/>
    <w:rsid w:val="00F030B0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66295F"/>
    <w:rPr>
      <w:sz w:val="16"/>
      <w:szCs w:val="16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6295F"/>
    <w:pPr>
      <w:suppressAutoHyphens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6295F"/>
    <w:rPr>
      <w:b/>
      <w:bCs/>
    </w:rPr>
  </w:style>
  <w:style w:type="paragraph" w:styleId="af2">
    <w:name w:val="Revision"/>
    <w:hidden/>
    <w:uiPriority w:val="99"/>
    <w:semiHidden/>
    <w:rsid w:val="0066295F"/>
    <w:rPr>
      <w:sz w:val="28"/>
    </w:rPr>
  </w:style>
  <w:style w:type="paragraph" w:styleId="af3">
    <w:name w:val="header"/>
    <w:basedOn w:val="a"/>
    <w:link w:val="af4"/>
    <w:uiPriority w:val="99"/>
    <w:unhideWhenUsed/>
    <w:rsid w:val="005A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A4926"/>
    <w:rPr>
      <w:sz w:val="28"/>
    </w:rPr>
  </w:style>
  <w:style w:type="paragraph" w:styleId="af5">
    <w:name w:val="footer"/>
    <w:basedOn w:val="a"/>
    <w:link w:val="af6"/>
    <w:uiPriority w:val="99"/>
    <w:unhideWhenUsed/>
    <w:rsid w:val="005A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A492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25AA-C8F6-48CA-A66C-04D0DD45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2025-09-26T12:28:00Z</dcterms:created>
  <dcterms:modified xsi:type="dcterms:W3CDTF">2025-09-26T12:28:00Z</dcterms:modified>
</cp:coreProperties>
</file>