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819"/>
        <w:gridCol w:w="2684"/>
      </w:tblGrid>
      <w:tr w14:paraId="4B4B29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3"/>
            <w:tcBorders>
              <w:top w:val="single" w:color="000000" w:sz="24" w:space="0"/>
              <w:bottom w:val="single" w:color="000000" w:sz="24" w:space="0"/>
            </w:tcBorders>
            <w:shd w:val="clear" w:color="auto" w:fill="auto"/>
          </w:tcPr>
          <w:p w14:paraId="1E7259D6">
            <w:pPr>
              <w:spacing w:before="240" w:after="0"/>
              <w:ind w:right="-144" w:hanging="142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lang w:eastAsia="en-US"/>
              </w:rPr>
              <w:t xml:space="preserve">ЕВРАЗИЙСКИЙ СОВЕТ ПО СТАНДАРТИЗАЦИИ, МЕТРОЛОГИИ И СЕРТИФИКАЦИИ  </w:t>
            </w:r>
          </w:p>
          <w:p w14:paraId="23ED3BDD">
            <w:pPr>
              <w:ind w:right="-144" w:hanging="142"/>
              <w:jc w:val="center"/>
              <w:rPr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lang w:val="en-US" w:eastAsia="en-US"/>
              </w:rPr>
              <w:t>(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lang w:eastAsia="en-US"/>
              </w:rPr>
              <w:t>ЕАСС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lang w:val="en-US" w:eastAsia="en-US"/>
              </w:rPr>
              <w:t>)</w:t>
            </w:r>
          </w:p>
          <w:p w14:paraId="5F1E4DF2">
            <w:pPr>
              <w:ind w:right="-144" w:hanging="142"/>
              <w:jc w:val="center"/>
              <w:rPr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lang w:val="en-US" w:eastAsia="en-US"/>
              </w:rPr>
              <w:t>EURO-ASIAN COUNCIL FOR STANDARDIZATION, METROLOGY AND CERTIFICATION</w:t>
            </w:r>
          </w:p>
          <w:p w14:paraId="28A133C1">
            <w:pPr>
              <w:spacing w:after="240"/>
              <w:ind w:right="-144" w:hanging="142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lang w:eastAsia="en-US"/>
              </w:rPr>
              <w:t>(EASC)</w:t>
            </w:r>
          </w:p>
        </w:tc>
      </w:tr>
      <w:tr w14:paraId="34AE8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2235" w:type="dxa"/>
            <w:tcBorders>
              <w:top w:val="single" w:color="000000" w:sz="24" w:space="0"/>
              <w:bottom w:val="single" w:color="000000" w:sz="18" w:space="0"/>
            </w:tcBorders>
            <w:shd w:val="clear" w:color="auto" w:fill="auto"/>
            <w:vAlign w:val="center"/>
          </w:tcPr>
          <w:p w14:paraId="1D8CFB19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pacing w:val="50"/>
                <w:sz w:val="28"/>
                <w:szCs w:val="28"/>
              </w:rPr>
            </w:pPr>
            <w:r>
              <w:rPr>
                <w:color w:val="000000"/>
                <w:lang w:eastAsia="ru-RU"/>
              </w:rPr>
              <w:drawing>
                <wp:inline distT="0" distB="0" distL="0" distR="0">
                  <wp:extent cx="1021080" cy="1021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-12" r="-12" b="-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color="000000" w:sz="24" w:space="0"/>
              <w:bottom w:val="single" w:color="000000" w:sz="18" w:space="0"/>
            </w:tcBorders>
            <w:shd w:val="clear" w:color="auto" w:fill="auto"/>
            <w:vAlign w:val="center"/>
          </w:tcPr>
          <w:p w14:paraId="4489B3D7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pacing w:val="50"/>
                <w:sz w:val="28"/>
                <w:szCs w:val="28"/>
              </w:rPr>
              <w:t>МЕЖГОСУДАРСТВЕННЫЙ</w:t>
            </w:r>
          </w:p>
          <w:p w14:paraId="71C51D10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ascii="Arial" w:hAnsi="Arial" w:eastAsia="SimSun" w:cs="Arial"/>
                <w:b/>
                <w:color w:val="000000"/>
                <w:spacing w:val="50"/>
                <w:sz w:val="28"/>
                <w:szCs w:val="28"/>
              </w:rPr>
              <w:t>СТАНДАРТ</w:t>
            </w:r>
          </w:p>
        </w:tc>
        <w:tc>
          <w:tcPr>
            <w:tcW w:w="2684" w:type="dxa"/>
            <w:tcBorders>
              <w:top w:val="single" w:color="000000" w:sz="24" w:space="0"/>
              <w:bottom w:val="single" w:color="000000" w:sz="18" w:space="0"/>
            </w:tcBorders>
            <w:shd w:val="clear" w:color="auto" w:fill="auto"/>
          </w:tcPr>
          <w:p w14:paraId="31F8E679">
            <w:pPr>
              <w:spacing w:before="360" w:after="0"/>
              <w:ind w:left="119"/>
              <w:rPr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36"/>
                <w:szCs w:val="36"/>
                <w:lang w:eastAsia="en-US"/>
              </w:rPr>
              <w:t xml:space="preserve">ГОСТ </w:t>
            </w:r>
            <w:r>
              <w:rPr>
                <w:color w:val="000000"/>
              </w:rPr>
              <w:br w:type="textWrapping"/>
            </w:r>
            <w:r>
              <w:rPr>
                <w:rFonts w:ascii="Arial" w:hAnsi="Arial" w:cs="Arial"/>
                <w:b/>
                <w:color w:val="000000"/>
                <w:sz w:val="36"/>
                <w:szCs w:val="36"/>
                <w:lang w:val="en-US" w:eastAsia="en-US"/>
              </w:rPr>
              <w:t>EN</w:t>
            </w:r>
            <w:r>
              <w:rPr>
                <w:rFonts w:ascii="Arial" w:hAnsi="Arial" w:cs="Arial"/>
                <w:b/>
                <w:color w:val="000000"/>
                <w:sz w:val="36"/>
                <w:szCs w:val="36"/>
                <w:lang w:eastAsia="en-US"/>
              </w:rPr>
              <w:t xml:space="preserve"> 17534-202Х </w:t>
            </w:r>
            <w:r>
              <w:rPr>
                <w:rFonts w:ascii="Arial" w:hAnsi="Arial" w:cs="Arial"/>
                <w:i/>
                <w:color w:val="000000"/>
                <w:sz w:val="24"/>
                <w:szCs w:val="24"/>
                <w:lang w:eastAsia="en-US"/>
              </w:rPr>
              <w:t>(проект, RU, первая редакция)</w:t>
            </w:r>
          </w:p>
        </w:tc>
      </w:tr>
    </w:tbl>
    <w:p w14:paraId="2761E35A">
      <w:pPr>
        <w:pStyle w:val="96"/>
        <w:rPr>
          <w:color w:val="000000"/>
        </w:rPr>
      </w:pPr>
      <w:r>
        <w:rPr>
          <w:rFonts w:eastAsia="Arial"/>
          <w:color w:val="000000"/>
        </w:rPr>
        <w:t xml:space="preserve"> </w:t>
      </w:r>
    </w:p>
    <w:p w14:paraId="76FCDB71">
      <w:pPr>
        <w:spacing w:line="360" w:lineRule="auto"/>
        <w:rPr>
          <w:rFonts w:ascii="Arial" w:hAnsi="Arial" w:cs="Arial"/>
          <w:b/>
          <w:sz w:val="28"/>
        </w:rPr>
      </w:pPr>
    </w:p>
    <w:p w14:paraId="43A711CD">
      <w:pPr>
        <w:spacing w:line="360" w:lineRule="auto"/>
        <w:rPr>
          <w:rFonts w:ascii="Arial" w:hAnsi="Arial" w:cs="Arial"/>
          <w:b/>
          <w:sz w:val="28"/>
        </w:rPr>
      </w:pPr>
    </w:p>
    <w:p w14:paraId="5D7B727D">
      <w:pPr>
        <w:spacing w:line="360" w:lineRule="auto"/>
        <w:rPr>
          <w:rFonts w:ascii="Arial" w:hAnsi="Arial" w:cs="Arial"/>
          <w:b/>
          <w:sz w:val="28"/>
        </w:rPr>
      </w:pPr>
    </w:p>
    <w:p w14:paraId="41A23559">
      <w:pPr>
        <w:spacing w:after="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МАТЕРИАЛЫ И ИЗДЕЛИЯ ТЕКСТИЛЬНЫЕ </w:t>
      </w:r>
    </w:p>
    <w:p w14:paraId="3831E931">
      <w:pPr>
        <w:spacing w:after="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Физиологическое воздействие </w:t>
      </w:r>
    </w:p>
    <w:p w14:paraId="1120399C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color w:val="000000"/>
          <w:sz w:val="32"/>
          <w:szCs w:val="32"/>
        </w:rPr>
        <w:t>Метод определения передачи и накопления жидкого пота</w:t>
      </w:r>
    </w:p>
    <w:p w14:paraId="1C4EDA29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486082B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046FB13">
      <w:pPr>
        <w:pStyle w:val="2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(</w:t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EN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17534:2022, </w:t>
      </w:r>
      <w:r>
        <w:rPr>
          <w:rFonts w:ascii="Arial" w:hAnsi="Arial" w:cs="Arial"/>
          <w:b/>
          <w:color w:val="000000"/>
          <w:sz w:val="24"/>
          <w:szCs w:val="24"/>
          <w:lang w:val="en-US"/>
        </w:rPr>
        <w:t>IDT</w:t>
      </w:r>
      <w:r>
        <w:rPr>
          <w:rFonts w:ascii="Arial" w:hAnsi="Arial" w:cs="Arial"/>
          <w:b/>
          <w:color w:val="000000"/>
          <w:sz w:val="24"/>
          <w:szCs w:val="24"/>
        </w:rPr>
        <w:t>)</w:t>
      </w:r>
    </w:p>
    <w:p w14:paraId="67FF12DE">
      <w:pPr>
        <w:pStyle w:val="2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74641F4">
      <w:pPr>
        <w:pStyle w:val="2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E1AC2A7">
      <w:pPr>
        <w:pStyle w:val="20"/>
        <w:jc w:val="center"/>
        <w:rPr>
          <w:rFonts w:ascii="Arial" w:hAnsi="Arial" w:cs="Arial"/>
          <w:b/>
          <w:bCs/>
          <w:i/>
          <w:color w:val="000000"/>
          <w:sz w:val="28"/>
          <w:szCs w:val="24"/>
        </w:rPr>
      </w:pPr>
    </w:p>
    <w:p w14:paraId="65DB0F79">
      <w:pPr>
        <w:pStyle w:val="20"/>
        <w:jc w:val="center"/>
        <w:rPr>
          <w:rFonts w:ascii="Arial" w:hAnsi="Arial" w:cs="Arial"/>
          <w:b/>
          <w:bCs/>
          <w:i/>
          <w:color w:val="000000"/>
          <w:sz w:val="28"/>
          <w:szCs w:val="24"/>
        </w:rPr>
      </w:pPr>
    </w:p>
    <w:p w14:paraId="244AAE58">
      <w:pPr>
        <w:pStyle w:val="20"/>
        <w:jc w:val="center"/>
        <w:rPr>
          <w:rFonts w:ascii="Arial" w:hAnsi="Arial" w:cs="Arial"/>
          <w:b/>
          <w:bCs/>
          <w:i/>
          <w:color w:val="000000"/>
          <w:sz w:val="28"/>
          <w:szCs w:val="24"/>
        </w:rPr>
      </w:pPr>
    </w:p>
    <w:p w14:paraId="21EEA494">
      <w:pPr>
        <w:pStyle w:val="20"/>
        <w:jc w:val="center"/>
        <w:rPr>
          <w:rFonts w:ascii="Arial" w:hAnsi="Arial" w:cs="Arial"/>
          <w:b/>
          <w:i/>
          <w:color w:val="000000"/>
          <w:sz w:val="28"/>
        </w:rPr>
      </w:pPr>
    </w:p>
    <w:p w14:paraId="5B2C8E61">
      <w:pPr>
        <w:pStyle w:val="97"/>
        <w:jc w:val="center"/>
        <w:rPr>
          <w:b/>
          <w:bCs/>
          <w:color w:val="000000"/>
          <w:szCs w:val="24"/>
        </w:rPr>
      </w:pPr>
      <w:r>
        <w:rPr>
          <w:i/>
          <w:color w:val="000000"/>
          <w:sz w:val="24"/>
          <w:szCs w:val="24"/>
          <w:lang w:eastAsia="en-US"/>
        </w:rPr>
        <w:t>Настоящий проект стандарта не подлежит применению до его принятия</w:t>
      </w:r>
      <w:r>
        <w:rPr>
          <w:b/>
          <w:bCs/>
          <w:color w:val="000000"/>
          <w:szCs w:val="24"/>
        </w:rPr>
        <w:t xml:space="preserve"> </w:t>
      </w:r>
    </w:p>
    <w:p w14:paraId="575F01CE">
      <w:pPr>
        <w:pStyle w:val="97"/>
        <w:jc w:val="center"/>
        <w:rPr>
          <w:b/>
          <w:bCs/>
          <w:color w:val="000000"/>
          <w:szCs w:val="24"/>
        </w:rPr>
      </w:pPr>
    </w:p>
    <w:p w14:paraId="72D526D5">
      <w:pPr>
        <w:pStyle w:val="97"/>
        <w:jc w:val="center"/>
        <w:rPr>
          <w:b/>
          <w:bCs/>
          <w:color w:val="000000"/>
          <w:szCs w:val="24"/>
        </w:rPr>
      </w:pPr>
    </w:p>
    <w:p w14:paraId="324E2CBE">
      <w:pPr>
        <w:pStyle w:val="97"/>
        <w:jc w:val="center"/>
        <w:rPr>
          <w:b/>
          <w:bCs/>
          <w:color w:val="000000"/>
          <w:szCs w:val="24"/>
        </w:rPr>
      </w:pPr>
    </w:p>
    <w:p w14:paraId="7ACD0803">
      <w:pPr>
        <w:pStyle w:val="97"/>
        <w:jc w:val="center"/>
        <w:rPr>
          <w:b/>
          <w:bCs/>
          <w:color w:val="000000"/>
          <w:szCs w:val="24"/>
        </w:rPr>
      </w:pPr>
    </w:p>
    <w:p w14:paraId="0FA4E2F9">
      <w:pPr>
        <w:pStyle w:val="97"/>
        <w:jc w:val="center"/>
        <w:rPr>
          <w:b/>
          <w:bCs/>
          <w:color w:val="000000"/>
          <w:szCs w:val="24"/>
        </w:rPr>
      </w:pPr>
    </w:p>
    <w:p w14:paraId="43A41F0F">
      <w:pPr>
        <w:pStyle w:val="97"/>
        <w:jc w:val="center"/>
        <w:rPr>
          <w:b/>
          <w:bCs/>
          <w:color w:val="000000"/>
          <w:szCs w:val="24"/>
        </w:rPr>
      </w:pPr>
    </w:p>
    <w:p w14:paraId="71204E0E">
      <w:pPr>
        <w:pStyle w:val="97"/>
        <w:jc w:val="center"/>
        <w:rPr>
          <w:b/>
          <w:bCs/>
          <w:color w:val="000000"/>
          <w:szCs w:val="24"/>
        </w:rPr>
      </w:pPr>
    </w:p>
    <w:p w14:paraId="7A236E5B">
      <w:pPr>
        <w:pStyle w:val="97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Минск</w:t>
      </w:r>
    </w:p>
    <w:p w14:paraId="3C4D8D33">
      <w:pPr>
        <w:pStyle w:val="97"/>
        <w:pBdr>
          <w:bottom w:val="dotted" w:color="auto" w:sz="24" w:space="1"/>
        </w:pBdr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Евразийский совет по стандартизации, метрологии и сертификации</w:t>
      </w:r>
    </w:p>
    <w:p w14:paraId="7EA0EB0A">
      <w:pPr>
        <w:pStyle w:val="97"/>
        <w:jc w:val="center"/>
        <w:rPr>
          <w:b/>
          <w:bCs/>
          <w:color w:val="000000"/>
          <w:szCs w:val="24"/>
        </w:rPr>
      </w:pPr>
    </w:p>
    <w:p w14:paraId="4A121940">
      <w:pPr>
        <w:pStyle w:val="97"/>
        <w:spacing w:line="360" w:lineRule="auto"/>
        <w:jc w:val="center"/>
        <w:rPr>
          <w:color w:val="000000"/>
        </w:rPr>
      </w:pPr>
      <w:r>
        <w:rPr>
          <w:b/>
          <w:bCs/>
          <w:color w:val="000000"/>
          <w:sz w:val="24"/>
          <w:szCs w:val="24"/>
        </w:rPr>
        <w:t>Предисловие</w:t>
      </w:r>
    </w:p>
    <w:p w14:paraId="335F8797">
      <w:pPr>
        <w:pStyle w:val="96"/>
        <w:spacing w:line="360" w:lineRule="auto"/>
        <w:ind w:firstLine="568"/>
        <w:jc w:val="both"/>
        <w:rPr>
          <w:color w:val="000000"/>
        </w:rPr>
      </w:pPr>
      <w:r>
        <w:rPr>
          <w:color w:val="000000"/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2E16F70">
      <w:pPr>
        <w:pStyle w:val="116"/>
        <w:widowControl/>
        <w:suppressAutoHyphens w:val="0"/>
        <w:spacing w:line="360" w:lineRule="auto"/>
        <w:ind w:firstLine="709"/>
        <w:jc w:val="both"/>
        <w:rPr>
          <w:rFonts w:ascii="Arial" w:hAnsi="Arial" w:cs="Arial"/>
          <w:b w:val="0"/>
          <w:color w:val="000000"/>
          <w:szCs w:val="24"/>
          <w:lang w:eastAsia="ru-RU"/>
        </w:rPr>
      </w:pPr>
      <w:r>
        <w:rPr>
          <w:rFonts w:ascii="Arial" w:hAnsi="Arial" w:cs="Arial"/>
          <w:b w:val="0"/>
          <w:color w:val="000000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применения, обновления и отмены».</w:t>
      </w:r>
    </w:p>
    <w:p w14:paraId="4D7D15BF">
      <w:pPr>
        <w:pStyle w:val="96"/>
        <w:spacing w:line="360" w:lineRule="auto"/>
        <w:ind w:firstLine="709"/>
        <w:jc w:val="both"/>
        <w:rPr>
          <w:color w:val="000000"/>
        </w:rPr>
      </w:pPr>
      <w:r>
        <w:rPr>
          <w:b/>
          <w:bCs/>
          <w:color w:val="000000"/>
          <w:sz w:val="24"/>
          <w:szCs w:val="24"/>
        </w:rPr>
        <w:t>Сведения о стандарте</w:t>
      </w:r>
    </w:p>
    <w:p w14:paraId="52B8162E">
      <w:pPr>
        <w:tabs>
          <w:tab w:val="left" w:pos="0"/>
          <w:tab w:val="left" w:pos="9498"/>
        </w:tabs>
        <w:spacing w:line="360" w:lineRule="auto"/>
        <w:ind w:firstLine="720"/>
        <w:jc w:val="both"/>
        <w:rPr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1 ПОДГОТОВЛЕН Производственно-внедренческим обществом с ограниченной ответственностью</w:t>
      </w:r>
      <w:r>
        <w:rPr>
          <w:rFonts w:ascii="Arial" w:hAnsi="Arial" w:cs="Arial"/>
          <w:sz w:val="24"/>
          <w:szCs w:val="24"/>
        </w:rPr>
        <w:t xml:space="preserve"> "Фирма "Техноавиа" (ПВ ООО "</w:t>
      </w:r>
      <w:r>
        <w:rPr>
          <w:rStyle w:val="49"/>
          <w:rFonts w:ascii="Arial" w:hAnsi="Arial" w:cs="Arial"/>
          <w:sz w:val="24"/>
          <w:szCs w:val="24"/>
        </w:rPr>
        <w:t xml:space="preserve">Фирма </w:t>
      </w:r>
      <w:r>
        <w:rPr>
          <w:rFonts w:ascii="Arial" w:hAnsi="Arial" w:cs="Arial"/>
          <w:sz w:val="24"/>
          <w:szCs w:val="24"/>
        </w:rPr>
        <w:t>"</w:t>
      </w:r>
      <w:r>
        <w:rPr>
          <w:rStyle w:val="49"/>
          <w:rFonts w:ascii="Arial" w:hAnsi="Arial" w:cs="Arial"/>
          <w:sz w:val="24"/>
          <w:szCs w:val="24"/>
        </w:rPr>
        <w:t>Техноавиа</w:t>
      </w:r>
      <w:r>
        <w:rPr>
          <w:rFonts w:ascii="Arial" w:hAnsi="Arial" w:cs="Arial"/>
          <w:sz w:val="24"/>
          <w:szCs w:val="24"/>
        </w:rPr>
        <w:t>") на основе официального перевода на русский язык англоязычной версии документа, указанного в пункте 4</w:t>
      </w:r>
    </w:p>
    <w:p w14:paraId="7B37BBB9">
      <w:pPr>
        <w:tabs>
          <w:tab w:val="left" w:pos="0"/>
          <w:tab w:val="left" w:pos="9498"/>
        </w:tabs>
        <w:spacing w:line="360" w:lineRule="auto"/>
        <w:ind w:firstLine="720"/>
        <w:jc w:val="both"/>
        <w:rPr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2 ВНЕСЕН Федеральным агентством по техническому регулированию и метрологии</w:t>
      </w:r>
    </w:p>
    <w:p w14:paraId="2429A052">
      <w:pPr>
        <w:pStyle w:val="96"/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3 ПРИНЯТ Евразийским советом по стандартизации, метрологии и сертификации (протокол от                                                №                     )</w:t>
      </w:r>
    </w:p>
    <w:p w14:paraId="6BF823D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 принятие проголосовали: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2836"/>
        <w:gridCol w:w="1843"/>
        <w:gridCol w:w="5122"/>
      </w:tblGrid>
      <w:tr w14:paraId="2A82870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blHeader/>
          <w:jc w:val="center"/>
        </w:trPr>
        <w:tc>
          <w:tcPr>
            <w:tcW w:w="2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29847FFF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Краткое наименование страны по МК </w:t>
            </w:r>
          </w:p>
          <w:p w14:paraId="5B2F21CB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(ИСО 3166) 004-97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3A303F84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Код страны по МК (ИСО 3166) 004-97</w:t>
            </w: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68016B77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Сокращенное наименование </w:t>
            </w:r>
          </w:p>
          <w:p w14:paraId="19849D22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национального органа </w:t>
            </w:r>
          </w:p>
          <w:p w14:paraId="0F8CE038">
            <w:pPr>
              <w:shd w:val="clear" w:color="auto" w:fill="FFFFFF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по стандартизации</w:t>
            </w:r>
          </w:p>
        </w:tc>
      </w:tr>
      <w:tr w14:paraId="27D8672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" w:hRule="atLeast"/>
          <w:jc w:val="center"/>
        </w:trPr>
        <w:tc>
          <w:tcPr>
            <w:tcW w:w="2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6C830AB5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7A3EA28F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4FEF3BDD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14:paraId="2D7E5FD3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2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33F9084C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73C024FF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2D583F3A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14:paraId="4E469F8C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2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642EEDA1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775F1A5E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16838309">
            <w:pPr>
              <w:shd w:val="clear" w:color="auto" w:fill="FFFFFF"/>
              <w:snapToGrid w:val="0"/>
              <w:spacing w:after="0" w:line="240" w:lineRule="auto"/>
              <w:ind w:hanging="3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14:paraId="4012B9F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2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0663AF4E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FFFFFF"/>
          </w:tcPr>
          <w:p w14:paraId="3948F6F6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3F371AFA">
            <w:pPr>
              <w:shd w:val="clear" w:color="auto" w:fill="FFFFFF"/>
              <w:snapToGrid w:val="0"/>
              <w:spacing w:after="0" w:line="240" w:lineRule="auto"/>
              <w:ind w:hanging="3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9752E12">
      <w:pPr>
        <w:pStyle w:val="96"/>
        <w:spacing w:line="360" w:lineRule="auto"/>
        <w:jc w:val="both"/>
        <w:rPr>
          <w:color w:val="000000"/>
          <w:sz w:val="24"/>
          <w:szCs w:val="24"/>
        </w:rPr>
      </w:pPr>
    </w:p>
    <w:p w14:paraId="0F752D4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 Настоящий стандарт идентичен европейскому стандарту </w:t>
      </w:r>
      <w:r>
        <w:rPr>
          <w:color w:val="000000"/>
          <w:sz w:val="24"/>
          <w:szCs w:val="24"/>
          <w:lang w:val="en-US"/>
        </w:rPr>
        <w:t>EN</w:t>
      </w:r>
      <w:r>
        <w:rPr>
          <w:color w:val="000000"/>
          <w:sz w:val="24"/>
          <w:szCs w:val="24"/>
        </w:rPr>
        <w:t> 17534:2022 «Материалы и изделия текстильные. Физиологическое воздействие. Определение передачи и накопления жидкого пота» («</w:t>
      </w:r>
      <w:r>
        <w:rPr>
          <w:color w:val="000000"/>
          <w:sz w:val="24"/>
          <w:szCs w:val="24"/>
          <w:lang w:val="en-US"/>
        </w:rPr>
        <w:t>Textiles</w:t>
      </w:r>
      <w:r>
        <w:rPr>
          <w:b/>
        </w:rPr>
        <w:t xml:space="preserve"> — </w:t>
      </w:r>
      <w:r>
        <w:rPr>
          <w:color w:val="000000"/>
          <w:sz w:val="24"/>
          <w:szCs w:val="24"/>
          <w:lang w:val="en-US"/>
        </w:rPr>
        <w:t>Physiological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effects</w:t>
      </w:r>
      <w:r>
        <w:rPr>
          <w:b/>
        </w:rPr>
        <w:t xml:space="preserve"> — </w:t>
      </w:r>
      <w:r>
        <w:rPr>
          <w:color w:val="000000"/>
          <w:sz w:val="24"/>
          <w:szCs w:val="24"/>
          <w:lang w:val="en-US"/>
        </w:rPr>
        <w:t>Measurement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of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liquid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sweat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transport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and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buffering</w:t>
      </w:r>
      <w:r>
        <w:rPr>
          <w:color w:val="000000"/>
          <w:sz w:val="24"/>
          <w:szCs w:val="24"/>
        </w:rPr>
        <w:t xml:space="preserve">», </w:t>
      </w:r>
      <w:r>
        <w:rPr>
          <w:color w:val="000000"/>
          <w:sz w:val="24"/>
          <w:szCs w:val="24"/>
          <w:lang w:val="en-US"/>
        </w:rPr>
        <w:t>IDT</w:t>
      </w:r>
      <w:r>
        <w:rPr>
          <w:color w:val="000000"/>
          <w:sz w:val="24"/>
          <w:szCs w:val="24"/>
        </w:rPr>
        <w:t xml:space="preserve">). </w:t>
      </w:r>
    </w:p>
    <w:p w14:paraId="766F7612">
      <w:pPr>
        <w:pStyle w:val="96"/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Международный стандарт разработан техническим комитетом по стандартизации </w:t>
      </w:r>
      <w:r>
        <w:rPr>
          <w:sz w:val="24"/>
          <w:szCs w:val="24"/>
          <w:lang w:val="en-US"/>
        </w:rPr>
        <w:t>CEN</w:t>
      </w:r>
      <w:r>
        <w:rPr>
          <w:sz w:val="24"/>
          <w:szCs w:val="24"/>
        </w:rPr>
        <w:t>/TC 248 «Текстильные материалы и изделия».</w:t>
      </w:r>
    </w:p>
    <w:p w14:paraId="08679C32">
      <w:pPr>
        <w:pStyle w:val="96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настоящего стандарта изменено относительно наименования указанного международного стандарта в целях приведения в соответствие с                  ГОСТ 1.5 (подраздел 3.6) и для увязки с наименованиями и терминологией, принятыми в существующем комплексе межгосударственных стандартов.</w:t>
      </w:r>
    </w:p>
    <w:p w14:paraId="7CB5A2DD">
      <w:pPr>
        <w:pStyle w:val="96"/>
        <w:spacing w:line="360" w:lineRule="auto"/>
        <w:ind w:firstLine="709"/>
        <w:jc w:val="both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</w:t>
      </w:r>
      <w:r>
        <w:rPr>
          <w:rFonts w:cs="Times New Roman"/>
          <w:color w:val="000000"/>
          <w:sz w:val="24"/>
          <w:szCs w:val="24"/>
        </w:rPr>
        <w:t>приложении ДА</w:t>
      </w:r>
    </w:p>
    <w:p w14:paraId="35AAB728">
      <w:pPr>
        <w:spacing w:before="200"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5 </w:t>
      </w:r>
      <w:r>
        <w:rPr>
          <w:rFonts w:ascii="Arial" w:hAnsi="Arial" w:cs="Arial"/>
          <w:sz w:val="24"/>
          <w:szCs w:val="24"/>
        </w:rPr>
        <w:t>ВВЕДЕН ВПЕРВЫЕ</w:t>
      </w:r>
    </w:p>
    <w:p w14:paraId="343748FC">
      <w:pPr>
        <w:spacing w:line="360" w:lineRule="auto"/>
        <w:ind w:firstLine="709"/>
        <w:jc w:val="both"/>
        <w:rPr>
          <w:color w:val="000000"/>
        </w:rPr>
      </w:pPr>
      <w:r>
        <w:rPr>
          <w:rFonts w:ascii="Arial" w:hAnsi="Arial" w:cs="Arial"/>
          <w:color w:val="000000"/>
          <w:sz w:val="24"/>
        </w:rPr>
        <w:t>6 Некоторые элементы настоящего стандарта могут являться объектами патентных прав</w:t>
      </w:r>
    </w:p>
    <w:p w14:paraId="47F7B0EE">
      <w:pPr>
        <w:pStyle w:val="20"/>
        <w:spacing w:after="0" w:line="36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</w:rPr>
      </w:pPr>
    </w:p>
    <w:p w14:paraId="044B7BF2">
      <w:pPr>
        <w:pStyle w:val="20"/>
        <w:spacing w:after="0" w:line="360" w:lineRule="auto"/>
        <w:ind w:firstLine="709"/>
        <w:jc w:val="both"/>
        <w:rPr>
          <w:rFonts w:ascii="Arial" w:hAnsi="Arial" w:cs="Arial"/>
          <w:bCs/>
          <w:i/>
          <w:color w:val="000000"/>
          <w:sz w:val="24"/>
          <w:szCs w:val="24"/>
        </w:rPr>
      </w:pPr>
      <w:r>
        <w:rPr>
          <w:rFonts w:ascii="Arial" w:hAnsi="Arial" w:cs="Arial"/>
          <w:bCs/>
          <w:i/>
          <w:color w:val="000000"/>
          <w:sz w:val="24"/>
          <w:szCs w:val="24"/>
          <w:lang w:val="zh-CN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5EDEB274">
      <w:pPr>
        <w:pStyle w:val="20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2070E72E">
      <w:pPr>
        <w:pStyle w:val="97"/>
        <w:rPr>
          <w:color w:val="000000"/>
          <w:sz w:val="24"/>
          <w:szCs w:val="24"/>
        </w:rPr>
      </w:pPr>
    </w:p>
    <w:p w14:paraId="1ED2F357">
      <w:pPr>
        <w:pStyle w:val="97"/>
        <w:rPr>
          <w:color w:val="000000"/>
          <w:sz w:val="24"/>
          <w:szCs w:val="24"/>
        </w:rPr>
      </w:pPr>
    </w:p>
    <w:p w14:paraId="1DCE220E">
      <w:pPr>
        <w:pStyle w:val="97"/>
        <w:rPr>
          <w:color w:val="000000"/>
          <w:sz w:val="24"/>
          <w:szCs w:val="24"/>
        </w:rPr>
      </w:pPr>
    </w:p>
    <w:p w14:paraId="6B842DDB">
      <w:pPr>
        <w:pStyle w:val="97"/>
        <w:rPr>
          <w:color w:val="000000"/>
          <w:sz w:val="24"/>
          <w:szCs w:val="24"/>
        </w:rPr>
      </w:pPr>
    </w:p>
    <w:p w14:paraId="2B49B0B4">
      <w:pPr>
        <w:pStyle w:val="97"/>
        <w:jc w:val="right"/>
        <w:rPr>
          <w:color w:val="000000"/>
          <w:sz w:val="24"/>
          <w:szCs w:val="24"/>
        </w:rPr>
      </w:pPr>
    </w:p>
    <w:p w14:paraId="450CA256">
      <w:pPr>
        <w:pStyle w:val="97"/>
        <w:jc w:val="right"/>
        <w:rPr>
          <w:color w:val="000000"/>
          <w:sz w:val="24"/>
          <w:szCs w:val="24"/>
        </w:rPr>
      </w:pPr>
    </w:p>
    <w:p w14:paraId="10BC98E2">
      <w:pPr>
        <w:pStyle w:val="97"/>
        <w:jc w:val="right"/>
        <w:rPr>
          <w:color w:val="000000"/>
          <w:sz w:val="24"/>
          <w:szCs w:val="24"/>
        </w:rPr>
      </w:pPr>
    </w:p>
    <w:p w14:paraId="2E41CF33">
      <w:pPr>
        <w:pStyle w:val="97"/>
        <w:jc w:val="right"/>
        <w:rPr>
          <w:color w:val="000000"/>
          <w:sz w:val="24"/>
          <w:szCs w:val="24"/>
        </w:rPr>
      </w:pPr>
    </w:p>
    <w:p w14:paraId="718C1346">
      <w:pPr>
        <w:pStyle w:val="97"/>
        <w:jc w:val="right"/>
        <w:rPr>
          <w:color w:val="000000"/>
          <w:sz w:val="24"/>
          <w:szCs w:val="24"/>
        </w:rPr>
      </w:pPr>
    </w:p>
    <w:p w14:paraId="7831B134">
      <w:pPr>
        <w:pStyle w:val="97"/>
        <w:jc w:val="right"/>
        <w:rPr>
          <w:color w:val="000000"/>
          <w:sz w:val="24"/>
          <w:szCs w:val="24"/>
        </w:rPr>
      </w:pPr>
    </w:p>
    <w:p w14:paraId="4347E1BE">
      <w:pPr>
        <w:pStyle w:val="97"/>
        <w:jc w:val="right"/>
        <w:rPr>
          <w:color w:val="000000"/>
          <w:sz w:val="24"/>
          <w:szCs w:val="24"/>
        </w:rPr>
      </w:pPr>
    </w:p>
    <w:p w14:paraId="0D791A21">
      <w:pPr>
        <w:pStyle w:val="97"/>
        <w:jc w:val="right"/>
        <w:rPr>
          <w:color w:val="000000"/>
          <w:sz w:val="24"/>
          <w:szCs w:val="24"/>
        </w:rPr>
      </w:pPr>
    </w:p>
    <w:p w14:paraId="16BA1558">
      <w:pPr>
        <w:pStyle w:val="97"/>
        <w:jc w:val="right"/>
        <w:rPr>
          <w:color w:val="000000"/>
          <w:sz w:val="24"/>
          <w:szCs w:val="24"/>
        </w:rPr>
      </w:pPr>
    </w:p>
    <w:p w14:paraId="515B1BE0">
      <w:pPr>
        <w:pStyle w:val="97"/>
        <w:jc w:val="both"/>
        <w:rPr>
          <w:color w:val="000000"/>
          <w:sz w:val="24"/>
          <w:szCs w:val="24"/>
        </w:rPr>
      </w:pPr>
    </w:p>
    <w:p w14:paraId="2F494AB3">
      <w:pPr>
        <w:pStyle w:val="97"/>
        <w:jc w:val="right"/>
        <w:rPr>
          <w:color w:val="000000"/>
          <w:sz w:val="24"/>
          <w:szCs w:val="24"/>
        </w:rPr>
      </w:pPr>
    </w:p>
    <w:p w14:paraId="29C38534">
      <w:pPr>
        <w:pStyle w:val="97"/>
        <w:jc w:val="both"/>
        <w:rPr>
          <w:color w:val="000000"/>
        </w:rPr>
      </w:pPr>
    </w:p>
    <w:p w14:paraId="4CD9DD01">
      <w:pPr>
        <w:ind w:firstLine="54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6E220BC7">
      <w:pPr>
        <w:pStyle w:val="97"/>
        <w:spacing w:line="600" w:lineRule="auto"/>
        <w:jc w:val="center"/>
        <w:rPr>
          <w:color w:val="000000"/>
        </w:rPr>
      </w:pPr>
      <w:r>
        <w:rPr>
          <w:b/>
          <w:bCs/>
          <w:color w:val="000000"/>
          <w:sz w:val="24"/>
          <w:szCs w:val="24"/>
        </w:rPr>
        <w:t>Содержание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9"/>
        <w:gridCol w:w="674"/>
      </w:tblGrid>
      <w:tr w14:paraId="3FA49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EB3619C">
            <w:pPr>
              <w:pStyle w:val="97"/>
              <w:spacing w:line="360" w:lineRule="auto"/>
              <w:jc w:val="both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Введение</w:t>
            </w:r>
          </w:p>
        </w:tc>
        <w:tc>
          <w:tcPr>
            <w:tcW w:w="674" w:type="dxa"/>
            <w:shd w:val="clear" w:color="auto" w:fill="auto"/>
          </w:tcPr>
          <w:p w14:paraId="62B472CA">
            <w:pPr>
              <w:pStyle w:val="97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  <w:tr w14:paraId="62F88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6B81852">
            <w:pPr>
              <w:pStyle w:val="97"/>
              <w:spacing w:line="360" w:lineRule="auto"/>
              <w:jc w:val="both"/>
              <w:rPr>
                <w:color w:val="auto"/>
              </w:rPr>
            </w:pPr>
            <w:r>
              <w:rPr>
                <w:bCs/>
                <w:color w:val="auto"/>
                <w:sz w:val="24"/>
                <w:szCs w:val="24"/>
              </w:rPr>
              <w:t>1 Область применения………………………………………………………………</w:t>
            </w:r>
            <w:r>
              <w:rPr>
                <w:color w:val="auto"/>
                <w:sz w:val="24"/>
                <w:szCs w:val="24"/>
              </w:rPr>
              <w:t>…….</w:t>
            </w:r>
          </w:p>
        </w:tc>
        <w:tc>
          <w:tcPr>
            <w:tcW w:w="674" w:type="dxa"/>
            <w:shd w:val="clear" w:color="auto" w:fill="auto"/>
          </w:tcPr>
          <w:p w14:paraId="7F89C286">
            <w:pPr>
              <w:pStyle w:val="97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  <w:tr w14:paraId="55AAF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743249FC">
            <w:pPr>
              <w:pStyle w:val="97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  <w:sz w:val="24"/>
                <w:szCs w:val="24"/>
              </w:rPr>
              <w:t>2 Нормативные ссылки ……………………………………………………………………</w:t>
            </w:r>
          </w:p>
        </w:tc>
        <w:tc>
          <w:tcPr>
            <w:tcW w:w="674" w:type="dxa"/>
            <w:shd w:val="clear" w:color="auto" w:fill="auto"/>
          </w:tcPr>
          <w:p w14:paraId="484D39B0">
            <w:pPr>
              <w:pStyle w:val="97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  <w:tr w14:paraId="57E9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E17FDF8">
            <w:pPr>
              <w:pStyle w:val="97"/>
              <w:spacing w:line="360" w:lineRule="auto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 Термины и определения…………………………………………………………</w:t>
            </w:r>
          </w:p>
        </w:tc>
        <w:tc>
          <w:tcPr>
            <w:tcW w:w="674" w:type="dxa"/>
            <w:shd w:val="clear" w:color="auto" w:fill="auto"/>
          </w:tcPr>
          <w:p w14:paraId="29771193">
            <w:pPr>
              <w:pStyle w:val="97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  <w:tr w14:paraId="65E4F7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3D3AA2F">
            <w:pPr>
              <w:pStyle w:val="97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Реагенты………………………………………....………..</w:t>
            </w:r>
          </w:p>
        </w:tc>
        <w:tc>
          <w:tcPr>
            <w:tcW w:w="674" w:type="dxa"/>
            <w:shd w:val="clear" w:color="auto" w:fill="auto"/>
          </w:tcPr>
          <w:p w14:paraId="4A34C7E2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14:paraId="486413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5C557824">
            <w:pPr>
              <w:pStyle w:val="97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5 Аппартаура……………….……...……………………………..…………………</w:t>
            </w:r>
          </w:p>
        </w:tc>
        <w:tc>
          <w:tcPr>
            <w:tcW w:w="674" w:type="dxa"/>
            <w:shd w:val="clear" w:color="auto" w:fill="auto"/>
          </w:tcPr>
          <w:p w14:paraId="55EEE215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14:paraId="6BA61F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0D28DC41">
            <w:pPr>
              <w:pStyle w:val="97"/>
              <w:spacing w:line="360" w:lineRule="auto"/>
              <w:ind w:left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5.1 Тонкая фольга</w:t>
            </w:r>
          </w:p>
        </w:tc>
        <w:tc>
          <w:tcPr>
            <w:tcW w:w="674" w:type="dxa"/>
            <w:shd w:val="clear" w:color="auto" w:fill="auto"/>
          </w:tcPr>
          <w:p w14:paraId="739664CE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14:paraId="621A9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84F0BBF">
            <w:pPr>
              <w:pStyle w:val="96"/>
              <w:spacing w:line="360" w:lineRule="auto"/>
              <w:ind w:left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5.2 Полиэфирная ткань</w:t>
            </w:r>
          </w:p>
          <w:p w14:paraId="69C28A59">
            <w:pPr>
              <w:pStyle w:val="96"/>
              <w:spacing w:line="360" w:lineRule="auto"/>
              <w:ind w:left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5.3 Рамка (для метода В)</w:t>
            </w:r>
          </w:p>
          <w:p w14:paraId="1A565EF7">
            <w:pPr>
              <w:pStyle w:val="96"/>
              <w:spacing w:line="360" w:lineRule="auto"/>
              <w:ind w:left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5.4 Держатель испытуемой пробы</w:t>
            </w:r>
          </w:p>
          <w:p w14:paraId="3302EEEA">
            <w:pPr>
              <w:pStyle w:val="96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Методы измерения и испытания</w:t>
            </w:r>
          </w:p>
        </w:tc>
        <w:tc>
          <w:tcPr>
            <w:tcW w:w="674" w:type="dxa"/>
            <w:shd w:val="clear" w:color="auto" w:fill="auto"/>
          </w:tcPr>
          <w:p w14:paraId="12946605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14:paraId="33FB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4B57EFA">
            <w:pPr>
              <w:pStyle w:val="96"/>
              <w:spacing w:line="360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 Общие положения</w:t>
            </w:r>
          </w:p>
        </w:tc>
        <w:tc>
          <w:tcPr>
            <w:tcW w:w="674" w:type="dxa"/>
            <w:shd w:val="clear" w:color="auto" w:fill="auto"/>
          </w:tcPr>
          <w:p w14:paraId="11D503B5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5B2B0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92759BE">
            <w:pPr>
              <w:pStyle w:val="96"/>
              <w:spacing w:line="360" w:lineRule="auto"/>
              <w:ind w:firstLine="284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6.2 Метод А</w:t>
            </w:r>
          </w:p>
        </w:tc>
        <w:tc>
          <w:tcPr>
            <w:tcW w:w="674" w:type="dxa"/>
            <w:shd w:val="clear" w:color="auto" w:fill="auto"/>
          </w:tcPr>
          <w:p w14:paraId="65AA8E89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39ADB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5469229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6.2.1 Принцип испытания</w:t>
            </w:r>
          </w:p>
          <w:p w14:paraId="2D9E60CA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6.2.2 Испытуемые пробы</w:t>
            </w:r>
          </w:p>
        </w:tc>
        <w:tc>
          <w:tcPr>
            <w:tcW w:w="674" w:type="dxa"/>
            <w:shd w:val="clear" w:color="auto" w:fill="auto"/>
          </w:tcPr>
          <w:p w14:paraId="2FF3DE8E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75501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7BBEEA1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6.2.3 Процедура испытания</w:t>
            </w:r>
          </w:p>
        </w:tc>
        <w:tc>
          <w:tcPr>
            <w:tcW w:w="674" w:type="dxa"/>
            <w:shd w:val="clear" w:color="auto" w:fill="auto"/>
          </w:tcPr>
          <w:p w14:paraId="6FBE5F04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670C5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330F267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6.2.4 Расчет результатов испытания</w:t>
            </w:r>
          </w:p>
        </w:tc>
        <w:tc>
          <w:tcPr>
            <w:tcW w:w="674" w:type="dxa"/>
            <w:shd w:val="clear" w:color="auto" w:fill="auto"/>
          </w:tcPr>
          <w:p w14:paraId="57D02445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0F0C2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7E280DB">
            <w:pPr>
              <w:pStyle w:val="96"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6.2.5 Физиологическая оценка текстильного материала</w:t>
            </w:r>
          </w:p>
        </w:tc>
        <w:tc>
          <w:tcPr>
            <w:tcW w:w="674" w:type="dxa"/>
            <w:shd w:val="clear" w:color="auto" w:fill="auto"/>
          </w:tcPr>
          <w:p w14:paraId="77764399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3BBC0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5D7B411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6.2.6 Калибровка испытательной аппаратуры</w:t>
            </w:r>
          </w:p>
        </w:tc>
        <w:tc>
          <w:tcPr>
            <w:tcW w:w="674" w:type="dxa"/>
            <w:shd w:val="clear" w:color="auto" w:fill="auto"/>
          </w:tcPr>
          <w:p w14:paraId="1F23CEAA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7D53F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0261F3BA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6.2.7 Прецизионность результатов</w:t>
            </w:r>
          </w:p>
        </w:tc>
        <w:tc>
          <w:tcPr>
            <w:tcW w:w="674" w:type="dxa"/>
            <w:shd w:val="clear" w:color="auto" w:fill="auto"/>
          </w:tcPr>
          <w:p w14:paraId="02CFEA16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1BDDE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C7C4483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6.2.8 Протокол испытаний</w:t>
            </w:r>
          </w:p>
        </w:tc>
        <w:tc>
          <w:tcPr>
            <w:tcW w:w="674" w:type="dxa"/>
            <w:shd w:val="clear" w:color="auto" w:fill="auto"/>
          </w:tcPr>
          <w:p w14:paraId="665D143A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1FDC9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28F9B9C">
            <w:pPr>
              <w:pStyle w:val="96"/>
              <w:spacing w:line="360" w:lineRule="auto"/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 Метод B (модификация метода A)</w:t>
            </w:r>
          </w:p>
        </w:tc>
        <w:tc>
          <w:tcPr>
            <w:tcW w:w="674" w:type="dxa"/>
            <w:shd w:val="clear" w:color="auto" w:fill="auto"/>
          </w:tcPr>
          <w:p w14:paraId="7A5166AA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12DEA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4CB95D64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6.3.1 Принцип испытания</w:t>
            </w:r>
          </w:p>
        </w:tc>
        <w:tc>
          <w:tcPr>
            <w:tcW w:w="674" w:type="dxa"/>
            <w:shd w:val="clear" w:color="auto" w:fill="auto"/>
          </w:tcPr>
          <w:p w14:paraId="7E40B14C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64FEF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70F00F0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6.3.2 Процедура испытания</w:t>
            </w:r>
          </w:p>
        </w:tc>
        <w:tc>
          <w:tcPr>
            <w:tcW w:w="674" w:type="dxa"/>
            <w:shd w:val="clear" w:color="auto" w:fill="auto"/>
          </w:tcPr>
          <w:p w14:paraId="35A3B90D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67422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56BF0857">
            <w:pPr>
              <w:pStyle w:val="96"/>
              <w:spacing w:line="360" w:lineRule="auto"/>
              <w:ind w:firstLine="7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6.3.3 Оценка результатов испытаний</w:t>
            </w:r>
          </w:p>
        </w:tc>
        <w:tc>
          <w:tcPr>
            <w:tcW w:w="674" w:type="dxa"/>
            <w:shd w:val="clear" w:color="auto" w:fill="auto"/>
          </w:tcPr>
          <w:p w14:paraId="79AFC5BF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69705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23C0BA41">
            <w:pPr>
              <w:pStyle w:val="96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Приложение А (справочное) Держатель испытуемой пробы</w:t>
            </w:r>
          </w:p>
        </w:tc>
        <w:tc>
          <w:tcPr>
            <w:tcW w:w="674" w:type="dxa"/>
            <w:shd w:val="clear" w:color="auto" w:fill="auto"/>
          </w:tcPr>
          <w:p w14:paraId="33B6087C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14:paraId="56918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1269A1F3">
            <w:pPr>
              <w:pStyle w:val="97"/>
              <w:spacing w:line="360" w:lineRule="auto"/>
              <w:ind w:left="1985" w:hanging="1985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Приложение ДА (справочное) Сведения о соответствии ссылочных европейских стандартов ссылочным межгосударственным стандартам……………………………………………………………..</w:t>
            </w:r>
          </w:p>
        </w:tc>
        <w:tc>
          <w:tcPr>
            <w:tcW w:w="674" w:type="dxa"/>
            <w:shd w:val="clear" w:color="auto" w:fill="auto"/>
          </w:tcPr>
          <w:p w14:paraId="79769DD2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14:paraId="36202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9" w:type="dxa"/>
            <w:shd w:val="clear" w:color="auto" w:fill="auto"/>
          </w:tcPr>
          <w:p w14:paraId="61C422C5">
            <w:pPr>
              <w:pStyle w:val="97"/>
              <w:spacing w:line="360" w:lineRule="auto"/>
              <w:ind w:left="1985" w:hanging="1985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Библиография……………………………………………………………………………….</w:t>
            </w:r>
          </w:p>
        </w:tc>
        <w:tc>
          <w:tcPr>
            <w:tcW w:w="674" w:type="dxa"/>
            <w:shd w:val="clear" w:color="auto" w:fill="auto"/>
          </w:tcPr>
          <w:p w14:paraId="3C76D6ED">
            <w:pPr>
              <w:pStyle w:val="97"/>
              <w:snapToGrid w:val="0"/>
              <w:spacing w:line="360" w:lineRule="auto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</w:tbl>
    <w:p w14:paraId="6DBCA06D">
      <w:pPr>
        <w:pStyle w:val="97"/>
        <w:spacing w:line="360" w:lineRule="auto"/>
        <w:ind w:firstLine="709"/>
        <w:jc w:val="both"/>
        <w:rPr>
          <w:b/>
          <w:bCs/>
          <w:color w:val="000000"/>
          <w:sz w:val="22"/>
          <w:szCs w:val="22"/>
        </w:rPr>
      </w:pPr>
    </w:p>
    <w:p w14:paraId="282A7116">
      <w:pPr>
        <w:pStyle w:val="97"/>
        <w:spacing w:line="360" w:lineRule="auto"/>
        <w:ind w:firstLine="709"/>
        <w:jc w:val="both"/>
        <w:rPr>
          <w:b/>
          <w:bCs/>
          <w:color w:val="000000"/>
          <w:sz w:val="22"/>
          <w:szCs w:val="22"/>
        </w:rPr>
      </w:pPr>
    </w:p>
    <w:p w14:paraId="4AB1F8A1">
      <w:pPr>
        <w:pStyle w:val="97"/>
        <w:spacing w:line="360" w:lineRule="auto"/>
        <w:ind w:firstLine="709"/>
        <w:jc w:val="both"/>
        <w:rPr>
          <w:b/>
          <w:bCs/>
          <w:color w:val="000000"/>
          <w:sz w:val="22"/>
          <w:szCs w:val="22"/>
        </w:rPr>
      </w:pPr>
    </w:p>
    <w:p w14:paraId="797403A9">
      <w:pPr>
        <w:pStyle w:val="97"/>
        <w:spacing w:line="360" w:lineRule="auto"/>
        <w:ind w:firstLine="709"/>
        <w:jc w:val="both"/>
        <w:rPr>
          <w:b/>
          <w:bCs/>
          <w:color w:val="000000"/>
          <w:sz w:val="22"/>
          <w:szCs w:val="22"/>
        </w:rPr>
      </w:pPr>
    </w:p>
    <w:p w14:paraId="581A7C05">
      <w:pPr>
        <w:pStyle w:val="97"/>
        <w:spacing w:line="360" w:lineRule="auto"/>
        <w:ind w:firstLine="709"/>
        <w:jc w:val="both"/>
        <w:rPr>
          <w:b/>
          <w:bCs/>
          <w:color w:val="000000"/>
          <w:sz w:val="28"/>
          <w:szCs w:val="22"/>
        </w:rPr>
      </w:pPr>
      <w:r>
        <w:rPr>
          <w:b/>
          <w:bCs/>
          <w:color w:val="000000"/>
          <w:sz w:val="28"/>
          <w:szCs w:val="22"/>
        </w:rPr>
        <w:t>Введение</w:t>
      </w:r>
    </w:p>
    <w:p w14:paraId="35E36A15">
      <w:pPr>
        <w:pStyle w:val="97"/>
        <w:spacing w:line="360" w:lineRule="auto"/>
        <w:ind w:firstLine="709"/>
        <w:jc w:val="both"/>
        <w:rPr>
          <w:bCs/>
          <w:color w:val="000000"/>
          <w:sz w:val="24"/>
          <w:szCs w:val="22"/>
        </w:rPr>
      </w:pPr>
      <w:r>
        <w:rPr>
          <w:bCs/>
          <w:color w:val="000000"/>
          <w:sz w:val="24"/>
          <w:szCs w:val="22"/>
        </w:rPr>
        <w:t xml:space="preserve">Для оценки физиологических свойств текстильных материалов и изделий, соприкасающихся с кожей человека, важны не только их термофизиологические свойства в стационарных условиях (тепловое сопротивление и сопротивление проникновению пара), которые можно измерить в соответствии с EN ISO 11092 с помощью греющей пластины с имитацией потоотделения и горячей охранной зоной (модель кожи человека), но и их способность накапливать стационарные импульсы потоотделения и переносить жидкий пот, возникающий при практическом использовании </w:t>
      </w:r>
      <w:r>
        <w:rPr>
          <w:bCs/>
          <w:color w:val="auto"/>
          <w:sz w:val="24"/>
          <w:szCs w:val="22"/>
        </w:rPr>
        <w:t>текстильных материалов и одежды.</w:t>
      </w:r>
    </w:p>
    <w:p w14:paraId="1BEB182B">
      <w:pPr>
        <w:pStyle w:val="97"/>
        <w:spacing w:line="360" w:lineRule="auto"/>
        <w:ind w:firstLine="709"/>
        <w:jc w:val="both"/>
        <w:rPr>
          <w:bCs/>
          <w:color w:val="000000"/>
          <w:sz w:val="24"/>
          <w:szCs w:val="22"/>
        </w:rPr>
      </w:pPr>
      <w:r>
        <w:rPr>
          <w:bCs/>
          <w:color w:val="000000"/>
          <w:sz w:val="24"/>
          <w:szCs w:val="22"/>
        </w:rPr>
        <w:t xml:space="preserve">При появлении жидкого пота на коже пользователя </w:t>
      </w:r>
      <w:r>
        <w:rPr>
          <w:bCs/>
          <w:color w:val="auto"/>
          <w:sz w:val="24"/>
          <w:szCs w:val="22"/>
        </w:rPr>
        <w:t>текстильные материалы и изделия впитывают пот и передают в следующие те</w:t>
      </w:r>
      <w:r>
        <w:rPr>
          <w:bCs/>
          <w:color w:val="000000"/>
          <w:sz w:val="24"/>
          <w:szCs w:val="22"/>
        </w:rPr>
        <w:t>кстильные слои или в воздушную среду. Данную так называемую накопительную способность и передачу жидкой воды (пота) текстильного материала и изделия количественно измеряют с помощью греющей пластины с имитацией потоотделения, слегка модифицированной по сравнению с конструкцией и процедурами, описанными в EN ISO 11092. Лучше по эксплуатационным характеристикам считают текстильный материал или изделие, в котором более эффективен передача пота с кожи человека и меньше жидкого пота остается на коже человека.</w:t>
      </w:r>
    </w:p>
    <w:p w14:paraId="2F9B02A3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0895C919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16E1EF2F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05E52CDF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60808FBA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6C5F3ACF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6D7BAC30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32A4B53E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7ACE6ACD">
      <w:pPr>
        <w:pStyle w:val="97"/>
        <w:spacing w:line="360" w:lineRule="auto"/>
        <w:jc w:val="both"/>
        <w:rPr>
          <w:b/>
          <w:bCs/>
          <w:color w:val="000000"/>
          <w:sz w:val="24"/>
          <w:szCs w:val="22"/>
        </w:rPr>
      </w:pPr>
    </w:p>
    <w:p w14:paraId="6BB66C61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footnotePr>
            <w:numRestart w:val="eachPage"/>
          </w:footnotePr>
          <w:pgSz w:w="11906" w:h="16838"/>
          <w:pgMar w:top="1099" w:right="851" w:bottom="1134" w:left="1418" w:header="278" w:footer="278" w:gutter="0"/>
          <w:pgNumType w:fmt="lowerRoman" w:start="1"/>
          <w:cols w:space="720" w:num="1"/>
          <w:titlePg/>
          <w:docGrid w:linePitch="299" w:charSpace="0"/>
        </w:sectPr>
      </w:pPr>
      <w:r>
        <w:rPr>
          <w:b/>
          <w:bCs/>
          <w:color w:val="000000"/>
        </w:rPr>
        <w:br w:type="page"/>
      </w:r>
    </w:p>
    <w:p w14:paraId="0507C3B9">
      <w:pPr>
        <w:pBdr>
          <w:top w:val="none" w:color="000000" w:sz="0" w:space="0"/>
          <w:left w:val="none" w:color="000000" w:sz="0" w:space="0"/>
          <w:bottom w:val="single" w:color="000000" w:sz="4" w:space="1"/>
          <w:right w:val="none" w:color="000000" w:sz="0" w:space="0"/>
        </w:pBdr>
        <w:shd w:val="clear" w:color="auto" w:fill="FFFFFF"/>
        <w:spacing w:before="12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pacing w:val="160"/>
          <w:sz w:val="24"/>
          <w:szCs w:val="24"/>
        </w:rPr>
        <w:t>МЕЖГОСУДАРСТВЕННЫЙ СТАНДАРТ</w:t>
      </w:r>
    </w:p>
    <w:p w14:paraId="4496B82F">
      <w:pPr>
        <w:spacing w:after="12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МАТЕРИАЛЫ И ИЗДЕЛИЯ ТЕКСТИЛЬНЫЕ. </w:t>
      </w:r>
    </w:p>
    <w:p w14:paraId="24046137">
      <w:pPr>
        <w:spacing w:after="12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Физиологическое воздействие. Метод определения передачи и накопления жидкого пота</w:t>
      </w:r>
    </w:p>
    <w:p w14:paraId="5712336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492125</wp:posOffset>
                </wp:positionV>
                <wp:extent cx="6251575" cy="18415"/>
                <wp:effectExtent l="13335" t="8890" r="12065" b="10795"/>
                <wp:wrapNone/>
                <wp:docPr id="9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51575" cy="18415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flip:y;margin-left:-1.6pt;margin-top:38.75pt;height:1.45pt;width:492.25pt;z-index:251659264;mso-width-relative:page;mso-height-relative:page;" filled="f" stroked="t" coordsize="21600,21600" o:gfxdata="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t+Z5tgAAAAIAQAADwAA&#10;AAAAAAABACAAAAAiAAAAZHJzL2Rvd25yZXYueG1sUEsBAhQAFAAAAAgAh07iQGYw1n/dAQAAyQMA&#10;AA4AAAAAAAAAAQAgAAAAJwEAAGRycy9lMm9Eb2MueG1sUEsFBgAAAAAGAAYAWQEAAHYFAAAAAA==&#10;">
                <v:fill on="f" focussize="0,0"/>
                <v:stroke weight="0.992125984251969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 w:eastAsia="ru-RU"/>
        </w:rPr>
        <w:t>Textiles. Physiological effect. Method for measurement of liquid sweat transport and buffering</w:t>
      </w:r>
    </w:p>
    <w:p w14:paraId="25C9C3C5">
      <w:pPr>
        <w:pStyle w:val="97"/>
        <w:spacing w:line="360" w:lineRule="auto"/>
        <w:jc w:val="right"/>
        <w:rPr>
          <w:b/>
          <w:color w:val="000000"/>
          <w:sz w:val="24"/>
          <w:szCs w:val="24"/>
          <w:lang w:val="en-US"/>
        </w:rPr>
      </w:pPr>
    </w:p>
    <w:p w14:paraId="704AC7A3">
      <w:pPr>
        <w:pStyle w:val="97"/>
        <w:spacing w:line="360" w:lineRule="auto"/>
        <w:jc w:val="right"/>
        <w:rPr>
          <w:color w:val="000000"/>
        </w:rPr>
      </w:pPr>
      <w:r>
        <w:rPr>
          <w:b/>
          <w:color w:val="000000"/>
          <w:sz w:val="24"/>
          <w:szCs w:val="24"/>
        </w:rPr>
        <w:t>Дата введения</w:t>
      </w:r>
    </w:p>
    <w:p w14:paraId="7FD9B484">
      <w:pPr>
        <w:pStyle w:val="97"/>
        <w:spacing w:line="360" w:lineRule="auto"/>
        <w:jc w:val="right"/>
        <w:rPr>
          <w:b/>
          <w:bCs/>
          <w:color w:val="000000"/>
          <w:sz w:val="28"/>
          <w:szCs w:val="28"/>
        </w:rPr>
      </w:pPr>
    </w:p>
    <w:p w14:paraId="7E0DE5F5">
      <w:pPr>
        <w:pStyle w:val="97"/>
        <w:spacing w:line="360" w:lineRule="auto"/>
        <w:ind w:firstLine="709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1 Область применения</w:t>
      </w:r>
    </w:p>
    <w:p w14:paraId="169CA05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Настоящий стандарт устанавливает метод испытаний для измерения свойств регулирования жидкого пота трикотажных, тканых и нетканых текстильных материалов, таких как </w:t>
      </w:r>
      <w:r>
        <w:rPr>
          <w:sz w:val="24"/>
          <w:szCs w:val="24"/>
        </w:rPr>
        <w:t xml:space="preserve">индекс накопления, </w:t>
      </w:r>
      <w:r>
        <w:rPr>
          <w:color w:val="000000"/>
          <w:sz w:val="24"/>
          <w:szCs w:val="24"/>
        </w:rPr>
        <w:t>передача пота и впитывание пота.</w:t>
      </w:r>
    </w:p>
    <w:p w14:paraId="672EA25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bookmarkStart w:id="0" w:name="_GoBack"/>
      <w:bookmarkEnd w:id="0"/>
    </w:p>
    <w:p w14:paraId="17541923">
      <w:pPr>
        <w:pStyle w:val="96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Нормативные ссылки</w:t>
      </w:r>
    </w:p>
    <w:p w14:paraId="175AF41F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— последнее издание (включая все изменения)]:</w:t>
      </w:r>
    </w:p>
    <w:p w14:paraId="0515726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EN ISO 3696, Water for analytical laboratory use — Specification and test methods (ISO 3696) (</w:t>
      </w:r>
      <w:r>
        <w:rPr>
          <w:color w:val="000000"/>
          <w:sz w:val="24"/>
          <w:szCs w:val="24"/>
        </w:rPr>
        <w:t>Вода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лабораторного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анализа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Технические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методы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испытаний</w:t>
      </w:r>
      <w:r>
        <w:rPr>
          <w:color w:val="000000"/>
          <w:sz w:val="24"/>
          <w:szCs w:val="24"/>
          <w:lang w:val="en-US"/>
        </w:rPr>
        <w:t>).</w:t>
      </w:r>
    </w:p>
    <w:p w14:paraId="5A115A96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EN ISO 11092, Textiles - Physiological effects - Measurement of thermal and water-vapour resistance under steady-state conditions (sweating guarded-hotplate test) (ISO 11092:2014) [</w:t>
      </w:r>
      <w:r>
        <w:rPr>
          <w:color w:val="000000"/>
          <w:sz w:val="24"/>
          <w:szCs w:val="24"/>
        </w:rPr>
        <w:t>Материалы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изделия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текстильные</w:t>
      </w:r>
      <w:r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Физиологическое воздействие. Определение теплового сопротивления и сопротивления проникновению пара в стационарных условиях (метод испытания с использованием потеющей защищенной термопластины)]</w:t>
      </w:r>
    </w:p>
    <w:p w14:paraId="4056911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751F28F2">
      <w:pPr>
        <w:pStyle w:val="96"/>
        <w:spacing w:line="360" w:lineRule="auto"/>
        <w:ind w:firstLine="709"/>
        <w:jc w:val="both"/>
      </w:pPr>
      <w:r>
        <w:rPr>
          <w:b/>
          <w:bCs/>
          <w:sz w:val="28"/>
          <w:szCs w:val="28"/>
        </w:rPr>
        <w:t>3 Термины и определения</w:t>
      </w:r>
    </w:p>
    <w:p w14:paraId="4772B470">
      <w:pPr>
        <w:pStyle w:val="96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настоящем стандарте применены следующие термины с соответствующими определениями.</w:t>
      </w:r>
    </w:p>
    <w:p w14:paraId="16811584">
      <w:pPr>
        <w:pStyle w:val="96"/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ISO и IEC поддерживают терминологическую базу данных, используемую в целях стандартизации по следующим адресам:</w:t>
      </w:r>
    </w:p>
    <w:p w14:paraId="712320D9">
      <w:pPr>
        <w:pStyle w:val="96"/>
        <w:tabs>
          <w:tab w:val="left" w:pos="851"/>
          <w:tab w:val="left" w:pos="993"/>
        </w:tabs>
        <w:spacing w:line="360" w:lineRule="auto"/>
        <w:ind w:firstLine="709"/>
        <w:rPr>
          <w:spacing w:val="-10"/>
          <w:sz w:val="24"/>
        </w:rPr>
      </w:pPr>
      <w:r>
        <w:rPr>
          <w:spacing w:val="-10"/>
          <w:sz w:val="24"/>
        </w:rPr>
        <w:t>-</w:t>
      </w:r>
      <w:r>
        <w:rPr>
          <w:spacing w:val="-10"/>
          <w:sz w:val="24"/>
        </w:rPr>
        <w:tab/>
      </w:r>
      <w:r>
        <w:rPr>
          <w:spacing w:val="-10"/>
          <w:sz w:val="24"/>
        </w:rPr>
        <w:t>платформа онлайн-просмотра ISO: доступна по адресу https://www.iso.org/obp/</w:t>
      </w:r>
    </w:p>
    <w:p w14:paraId="6BB01200">
      <w:pPr>
        <w:pStyle w:val="96"/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Электропедия IEC: доступна по адресу http://www.electropedia.org/</w:t>
      </w:r>
    </w:p>
    <w:p w14:paraId="5CAF7CDD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3.1</w:t>
      </w:r>
      <w:r>
        <w:rPr>
          <w:b/>
          <w:bCs/>
          <w:color w:val="auto"/>
          <w:sz w:val="24"/>
          <w:szCs w:val="28"/>
        </w:rPr>
        <w:t xml:space="preserve"> впитывание, накопление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uptake</w:t>
      </w:r>
      <w:r>
        <w:rPr>
          <w:bCs/>
          <w:color w:val="auto"/>
          <w:sz w:val="24"/>
          <w:szCs w:val="28"/>
        </w:rPr>
        <w:t>, buffering): Эффект, измеряемый количеством жидкой воды, остающейся в текстильном материале в граммах во время и после определенного периода времени контакта с водой.</w:t>
      </w:r>
    </w:p>
    <w:p w14:paraId="3CBEFC8B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3.2</w:t>
      </w:r>
      <w:r>
        <w:rPr>
          <w:b/>
          <w:bCs/>
          <w:color w:val="auto"/>
          <w:sz w:val="24"/>
          <w:szCs w:val="28"/>
        </w:rPr>
        <w:t xml:space="preserve"> передача пота, </w:t>
      </w:r>
      <w:r>
        <w:rPr>
          <w:bCs/>
          <w:i/>
          <w:color w:val="auto"/>
          <w:sz w:val="24"/>
          <w:szCs w:val="28"/>
          <w:lang w:val="en-US"/>
        </w:rPr>
        <w:t>F</w:t>
      </w:r>
      <w:r>
        <w:rPr>
          <w:b/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sweat</w:t>
      </w:r>
      <w:r>
        <w:rPr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  <w:lang w:val="en-US"/>
        </w:rPr>
        <w:t>transport</w:t>
      </w:r>
      <w:r>
        <w:rPr>
          <w:bCs/>
          <w:color w:val="auto"/>
          <w:sz w:val="24"/>
          <w:szCs w:val="28"/>
        </w:rPr>
        <w:t xml:space="preserve">): Количество жидкой </w:t>
      </w:r>
      <w:r>
        <w:rPr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воды</w:t>
      </w:r>
      <w:r>
        <w:rPr>
          <w:bCs/>
          <w:color w:val="FF0000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</w:rPr>
        <w:t>(жидкого пота) в граммах, впитанное 1 м² текстильного материала и в течение 1 ч переданное в окружающий воздух при определенной температуре и относительной влажности.</w:t>
      </w:r>
    </w:p>
    <w:p w14:paraId="4EE26B51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3.3</w:t>
      </w:r>
      <w:r>
        <w:rPr>
          <w:b/>
          <w:bCs/>
          <w:color w:val="auto"/>
          <w:sz w:val="24"/>
          <w:szCs w:val="28"/>
        </w:rPr>
        <w:t xml:space="preserve"> регулирование жидкого пота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liquid</w:t>
      </w:r>
      <w:r>
        <w:rPr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  <w:lang w:val="en-US"/>
        </w:rPr>
        <w:t>sweat</w:t>
      </w:r>
      <w:r>
        <w:rPr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  <w:lang w:val="en-US"/>
        </w:rPr>
        <w:t>management</w:t>
      </w:r>
      <w:r>
        <w:rPr>
          <w:bCs/>
          <w:color w:val="auto"/>
          <w:sz w:val="24"/>
          <w:szCs w:val="28"/>
        </w:rPr>
        <w:t>): Сочетание впитывания или накопления пота кожей, с одной стороны, и передачи пота от кожи в окружающую среду, с другой стороны.</w:t>
      </w:r>
    </w:p>
    <w:p w14:paraId="52F8EE27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3.4</w:t>
      </w:r>
      <w:r>
        <w:rPr>
          <w:b/>
          <w:bCs/>
          <w:color w:val="auto"/>
          <w:sz w:val="24"/>
          <w:szCs w:val="28"/>
        </w:rPr>
        <w:t xml:space="preserve"> влагопроницаемость, </w:t>
      </w:r>
      <w:r>
        <w:rPr>
          <w:bCs/>
          <w:i/>
          <w:color w:val="auto"/>
          <w:sz w:val="24"/>
          <w:szCs w:val="28"/>
          <w:lang w:val="en-US"/>
        </w:rPr>
        <w:t>F</w:t>
      </w:r>
      <w:r>
        <w:rPr>
          <w:bCs/>
          <w:color w:val="auto"/>
          <w:sz w:val="24"/>
          <w:szCs w:val="28"/>
          <w:vertAlign w:val="subscript"/>
        </w:rPr>
        <w:t>1</w:t>
      </w:r>
      <w:r>
        <w:rPr>
          <w:b/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moisture</w:t>
      </w:r>
      <w:r>
        <w:rPr>
          <w:bCs/>
          <w:color w:val="auto"/>
          <w:sz w:val="24"/>
          <w:szCs w:val="28"/>
        </w:rPr>
        <w:t xml:space="preserve"> permeability): Эффект, измеряемый количеством жидкой воды в граммах, впитанным 1 м² текстильного материала и в течение 1 ч переданным в окружающий воздух с градиентом давления пара 1 гПа между двумя сторонами текстильного материала.</w:t>
      </w:r>
    </w:p>
    <w:p w14:paraId="12EC9BE0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3.5</w:t>
      </w:r>
      <w:r>
        <w:rPr>
          <w:b/>
          <w:bCs/>
          <w:color w:val="auto"/>
          <w:sz w:val="24"/>
          <w:szCs w:val="28"/>
        </w:rPr>
        <w:t xml:space="preserve"> впитывание пота, </w:t>
      </w:r>
      <w:r>
        <w:rPr>
          <w:bCs/>
          <w:i/>
          <w:color w:val="auto"/>
          <w:sz w:val="24"/>
          <w:szCs w:val="28"/>
          <w:lang w:val="en-US"/>
        </w:rPr>
        <w:t>G</w:t>
      </w:r>
      <w:r>
        <w:rPr>
          <w:bCs/>
          <w:color w:val="auto"/>
          <w:sz w:val="24"/>
          <w:szCs w:val="28"/>
          <w:vertAlign w:val="subscript"/>
        </w:rPr>
        <w:t>2</w:t>
      </w:r>
      <w:r>
        <w:rPr>
          <w:b/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sweat</w:t>
      </w:r>
      <w:r>
        <w:rPr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  <w:lang w:val="en-US"/>
        </w:rPr>
        <w:t>uptake</w:t>
      </w:r>
      <w:r>
        <w:rPr>
          <w:bCs/>
          <w:color w:val="auto"/>
          <w:sz w:val="24"/>
          <w:szCs w:val="28"/>
        </w:rPr>
        <w:t>): Эффект, измеряемый долей жидкой воды, оставшейся в текстильном материале в граммах после 15 мин контакта с водой.</w:t>
      </w:r>
    </w:p>
    <w:p w14:paraId="4BE70B0D">
      <w:pPr>
        <w:pStyle w:val="97"/>
        <w:spacing w:line="360" w:lineRule="auto"/>
        <w:ind w:firstLine="709"/>
        <w:jc w:val="both"/>
        <w:rPr>
          <w:bCs/>
          <w:color w:val="auto"/>
          <w:sz w:val="24"/>
          <w:szCs w:val="28"/>
        </w:rPr>
      </w:pPr>
      <w:r>
        <w:rPr>
          <w:bCs/>
          <w:color w:val="auto"/>
          <w:sz w:val="24"/>
          <w:szCs w:val="28"/>
        </w:rPr>
        <w:t>3.6</w:t>
      </w:r>
      <w:r>
        <w:rPr>
          <w:b/>
          <w:bCs/>
          <w:color w:val="auto"/>
          <w:sz w:val="24"/>
          <w:szCs w:val="28"/>
        </w:rPr>
        <w:t xml:space="preserve"> индекс накопления, </w:t>
      </w:r>
      <w:r>
        <w:rPr>
          <w:bCs/>
          <w:i/>
          <w:color w:val="auto"/>
          <w:sz w:val="24"/>
          <w:szCs w:val="28"/>
          <w:lang w:val="en-US"/>
        </w:rPr>
        <w:t>K</w:t>
      </w:r>
      <w:r>
        <w:rPr>
          <w:bCs/>
          <w:color w:val="auto"/>
          <w:sz w:val="24"/>
          <w:szCs w:val="28"/>
          <w:vertAlign w:val="subscript"/>
          <w:lang w:val="en-US"/>
        </w:rPr>
        <w:t>f</w:t>
      </w:r>
      <w:r>
        <w:rPr>
          <w:b/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</w:rPr>
        <w:t>(</w:t>
      </w:r>
      <w:r>
        <w:rPr>
          <w:bCs/>
          <w:color w:val="auto"/>
          <w:sz w:val="24"/>
          <w:szCs w:val="28"/>
          <w:lang w:val="en-US"/>
        </w:rPr>
        <w:t>buffering</w:t>
      </w:r>
      <w:r>
        <w:rPr>
          <w:bCs/>
          <w:color w:val="auto"/>
          <w:sz w:val="24"/>
          <w:szCs w:val="28"/>
        </w:rPr>
        <w:t xml:space="preserve"> </w:t>
      </w:r>
      <w:r>
        <w:rPr>
          <w:bCs/>
          <w:color w:val="auto"/>
          <w:sz w:val="24"/>
          <w:szCs w:val="28"/>
          <w:lang w:val="en-US"/>
        </w:rPr>
        <w:t>index</w:t>
      </w:r>
      <w:r>
        <w:rPr>
          <w:bCs/>
          <w:color w:val="auto"/>
          <w:sz w:val="24"/>
          <w:szCs w:val="28"/>
        </w:rPr>
        <w:t>): Отношение суммы жидкой воды, переданной через текстильный материал (</w:t>
      </w:r>
      <w:r>
        <w:rPr>
          <w:bCs/>
          <w:i/>
          <w:color w:val="auto"/>
          <w:sz w:val="24"/>
          <w:szCs w:val="28"/>
        </w:rPr>
        <w:t>G</w:t>
      </w:r>
      <w:r>
        <w:rPr>
          <w:bCs/>
          <w:color w:val="auto"/>
          <w:sz w:val="24"/>
          <w:szCs w:val="28"/>
          <w:vertAlign w:val="subscript"/>
        </w:rPr>
        <w:t>1</w:t>
      </w:r>
      <w:r>
        <w:rPr>
          <w:bCs/>
          <w:color w:val="auto"/>
          <w:sz w:val="24"/>
          <w:szCs w:val="28"/>
        </w:rPr>
        <w:t>) и оставшейся в текстильном материале (</w:t>
      </w:r>
      <w:r>
        <w:rPr>
          <w:bCs/>
          <w:i/>
          <w:color w:val="auto"/>
          <w:sz w:val="24"/>
          <w:szCs w:val="28"/>
        </w:rPr>
        <w:t>G</w:t>
      </w:r>
      <w:r>
        <w:rPr>
          <w:bCs/>
          <w:color w:val="auto"/>
          <w:sz w:val="24"/>
          <w:szCs w:val="28"/>
          <w:vertAlign w:val="subscript"/>
        </w:rPr>
        <w:t>2</w:t>
      </w:r>
      <w:r>
        <w:rPr>
          <w:bCs/>
          <w:color w:val="auto"/>
          <w:sz w:val="24"/>
          <w:szCs w:val="28"/>
        </w:rPr>
        <w:t>) в граммах после 15 минут контакта с водой, к общему количеству воды, введенной в текстильный материал (</w:t>
      </w:r>
      <w:r>
        <w:rPr>
          <w:bCs/>
          <w:i/>
          <w:color w:val="auto"/>
          <w:sz w:val="24"/>
          <w:szCs w:val="28"/>
        </w:rPr>
        <w:t>G</w:t>
      </w:r>
      <w:r>
        <w:rPr>
          <w:bCs/>
          <w:color w:val="auto"/>
          <w:sz w:val="24"/>
          <w:szCs w:val="28"/>
          <w:vertAlign w:val="subscript"/>
        </w:rPr>
        <w:t>0</w:t>
      </w:r>
      <w:r>
        <w:rPr>
          <w:bCs/>
          <w:color w:val="auto"/>
          <w:sz w:val="24"/>
          <w:szCs w:val="28"/>
        </w:rPr>
        <w:t>) в граммах.</w:t>
      </w:r>
    </w:p>
    <w:p w14:paraId="1243F1F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6759D59A">
      <w:pPr>
        <w:pStyle w:val="96"/>
        <w:spacing w:line="360" w:lineRule="auto"/>
        <w:ind w:firstLine="709"/>
        <w:jc w:val="both"/>
        <w:rPr>
          <w:b/>
          <w:color w:val="000000"/>
          <w:sz w:val="28"/>
          <w:szCs w:val="24"/>
        </w:rPr>
      </w:pPr>
      <w:r>
        <w:rPr>
          <w:b/>
          <w:color w:val="000000"/>
          <w:sz w:val="28"/>
          <w:szCs w:val="24"/>
        </w:rPr>
        <w:t>4 Реагенты</w:t>
      </w:r>
    </w:p>
    <w:p w14:paraId="7BDB703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Вода 3-ей степени чистоты в соответствии с EN ISO 3696.</w:t>
      </w:r>
    </w:p>
    <w:p w14:paraId="296AFBE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77481D48">
      <w:pPr>
        <w:pStyle w:val="96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Аппаратура</w:t>
      </w:r>
    </w:p>
    <w:p w14:paraId="7A7A3B67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5.1 Тонкая фольга</w:t>
      </w:r>
    </w:p>
    <w:p w14:paraId="2815888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Тонкая фольга размером 25 x 25 см, непроницаемая для воды и пара. Предлагаемый материал для фольги — ПЭТ (полиэтилентерефталат) толщиной 0,1 мм. Тонкая фольга должна обладать хорошей термической стабильностью и хорошей плоскостностью, чтобы обеспечить тесный контакт с пластиной модели кожи. </w:t>
      </w:r>
    </w:p>
    <w:p w14:paraId="19D7CF9C">
      <w:pPr>
        <w:pStyle w:val="96"/>
        <w:spacing w:line="360" w:lineRule="auto"/>
        <w:ind w:firstLine="709"/>
        <w:jc w:val="both"/>
        <w:rPr>
          <w:color w:val="000000"/>
          <w:sz w:val="22"/>
          <w:szCs w:val="24"/>
        </w:rPr>
      </w:pPr>
      <w:r>
        <w:rPr>
          <w:color w:val="000000"/>
          <w:spacing w:val="40"/>
          <w:sz w:val="22"/>
          <w:szCs w:val="24"/>
        </w:rPr>
        <w:t>Примечание</w:t>
      </w:r>
      <w:r>
        <w:rPr>
          <w:color w:val="000000"/>
          <w:sz w:val="22"/>
          <w:szCs w:val="24"/>
        </w:rPr>
        <w:t xml:space="preserve"> — Фольга предотвращает попадание воды в измерительный блок в течение всего испытания.</w:t>
      </w:r>
    </w:p>
    <w:p w14:paraId="26C26A4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2618457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71FD24D7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5.2 Полиэфирная ткань</w:t>
      </w:r>
    </w:p>
    <w:p w14:paraId="5C52159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Полиэфирная ткань с поверхностной плотностью (100 ± 3) г/м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 и размером    20 x 20 см</w:t>
      </w:r>
      <w:r>
        <w:rPr>
          <w:rStyle w:val="6"/>
          <w:color w:val="000000"/>
          <w:sz w:val="24"/>
          <w:szCs w:val="24"/>
        </w:rPr>
        <w:footnoteReference w:id="0"/>
      </w:r>
      <w:r>
        <w:rPr>
          <w:color w:val="000000"/>
          <w:sz w:val="24"/>
          <w:szCs w:val="24"/>
          <w:vertAlign w:val="superscript"/>
        </w:rPr>
        <w:t>)</w:t>
      </w:r>
      <w:r>
        <w:rPr>
          <w:color w:val="000000"/>
          <w:sz w:val="24"/>
          <w:szCs w:val="24"/>
        </w:rPr>
        <w:t>.</w:t>
      </w:r>
    </w:p>
    <w:p w14:paraId="4DD76BBB">
      <w:pPr>
        <w:pStyle w:val="96"/>
        <w:spacing w:line="360" w:lineRule="auto"/>
        <w:ind w:firstLine="709"/>
        <w:jc w:val="both"/>
        <w:rPr>
          <w:color w:val="000000"/>
          <w:sz w:val="22"/>
          <w:szCs w:val="24"/>
        </w:rPr>
      </w:pPr>
      <w:r>
        <w:rPr>
          <w:color w:val="000000"/>
          <w:spacing w:val="40"/>
          <w:sz w:val="22"/>
          <w:szCs w:val="24"/>
        </w:rPr>
        <w:t>Примечание</w:t>
      </w:r>
      <w:r>
        <w:rPr>
          <w:color w:val="000000"/>
          <w:sz w:val="22"/>
          <w:szCs w:val="24"/>
        </w:rPr>
        <w:t xml:space="preserve"> — Данный текстильный материал имитирует распределение пота на коже.</w:t>
      </w:r>
    </w:p>
    <w:p w14:paraId="7E97E15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Поглощение воды </w:t>
      </w:r>
      <w:r>
        <w:rPr>
          <w:color w:val="000000"/>
          <w:sz w:val="24"/>
          <w:szCs w:val="24"/>
        </w:rPr>
        <w:t xml:space="preserve">данной тканью можно проверить с помощью метода, описанного в Приложении A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>SO 17617:2014 (испытание каплей).</w:t>
      </w:r>
    </w:p>
    <w:p w14:paraId="09E9042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наличии видимых загрязнений необходимо почистить полиэфирную ткань. Процедура чистки следующая: полиэфирную ткань промывают в дистиллированной воде комнатной температуры до тех пор, пока загрязнения не будут удалены. Затем ткань сушат на воздухе при комнатной температуре.</w:t>
      </w:r>
    </w:p>
    <w:p w14:paraId="62A73776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5.3 Рамка (для метода В)</w:t>
      </w:r>
    </w:p>
    <w:p w14:paraId="33EDCA1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Рамка из материала с низкой теплопроводностью, например, синтетической смолы.</w:t>
      </w:r>
    </w:p>
    <w:p w14:paraId="446E155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Размеры рамки:</w:t>
      </w:r>
    </w:p>
    <w:p w14:paraId="4E358DA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внешний размер: 300 x 300 мм;</w:t>
      </w:r>
    </w:p>
    <w:p w14:paraId="77886B2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внутренний размер: 230 x 230 мм;</w:t>
      </w:r>
    </w:p>
    <w:p w14:paraId="3990670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толщина: (2 ± 0,1) мм</w:t>
      </w:r>
    </w:p>
    <w:p w14:paraId="1F95E9C0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5.4 Держатель испытуемой пробы</w:t>
      </w:r>
    </w:p>
    <w:p w14:paraId="0F84553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Держатель испытуемой пробы представлен на рисунке 1.</w:t>
      </w:r>
    </w:p>
    <w:p w14:paraId="05F2EF1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drawing>
          <wp:inline distT="0" distB="0" distL="0" distR="0">
            <wp:extent cx="5857875" cy="4133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2F0C">
      <w:pPr>
        <w:pStyle w:val="96"/>
        <w:spacing w:line="360" w:lineRule="auto"/>
        <w:ind w:firstLine="709"/>
        <w:jc w:val="center"/>
        <w:rPr>
          <w:color w:val="000000"/>
          <w:sz w:val="22"/>
          <w:szCs w:val="24"/>
        </w:rPr>
      </w:pPr>
      <w:r>
        <w:rPr>
          <w:i/>
          <w:color w:val="000000"/>
          <w:sz w:val="22"/>
          <w:szCs w:val="24"/>
        </w:rPr>
        <w:t>1</w:t>
      </w:r>
      <w:r>
        <w:rPr>
          <w:color w:val="000000"/>
          <w:sz w:val="22"/>
          <w:szCs w:val="24"/>
        </w:rPr>
        <w:t xml:space="preserve"> — испытуемая проба, </w:t>
      </w:r>
      <w:r>
        <w:rPr>
          <w:i/>
          <w:color w:val="000000"/>
          <w:sz w:val="22"/>
          <w:szCs w:val="24"/>
        </w:rPr>
        <w:t>2</w:t>
      </w:r>
      <w:r>
        <w:rPr>
          <w:color w:val="000000"/>
          <w:sz w:val="22"/>
          <w:szCs w:val="24"/>
        </w:rPr>
        <w:t xml:space="preserve"> — распорки, </w:t>
      </w:r>
      <w:r>
        <w:rPr>
          <w:i/>
          <w:color w:val="000000"/>
          <w:sz w:val="22"/>
          <w:szCs w:val="24"/>
        </w:rPr>
        <w:t>3</w:t>
      </w:r>
      <w:r>
        <w:rPr>
          <w:color w:val="000000"/>
          <w:sz w:val="22"/>
          <w:szCs w:val="24"/>
        </w:rPr>
        <w:t xml:space="preserve"> — зажимы (в закрытом положении), </w:t>
      </w:r>
    </w:p>
    <w:p w14:paraId="58104AE2">
      <w:pPr>
        <w:pStyle w:val="96"/>
        <w:spacing w:line="360" w:lineRule="auto"/>
        <w:ind w:firstLine="709"/>
        <w:jc w:val="center"/>
        <w:rPr>
          <w:color w:val="000000"/>
          <w:sz w:val="22"/>
          <w:szCs w:val="24"/>
        </w:rPr>
      </w:pPr>
      <w:r>
        <w:rPr>
          <w:i/>
          <w:color w:val="000000"/>
          <w:sz w:val="22"/>
          <w:szCs w:val="24"/>
        </w:rPr>
        <w:t>4</w:t>
      </w:r>
      <w:r>
        <w:rPr>
          <w:color w:val="000000"/>
          <w:sz w:val="22"/>
          <w:szCs w:val="24"/>
        </w:rPr>
        <w:t xml:space="preserve"> — механизм открывания и закрывания зажимов, </w:t>
      </w:r>
      <w:r>
        <w:rPr>
          <w:i/>
          <w:color w:val="000000"/>
          <w:sz w:val="22"/>
          <w:szCs w:val="24"/>
        </w:rPr>
        <w:t>5</w:t>
      </w:r>
      <w:r>
        <w:rPr>
          <w:color w:val="000000"/>
          <w:sz w:val="22"/>
          <w:szCs w:val="24"/>
        </w:rPr>
        <w:t xml:space="preserve"> — крышка, </w:t>
      </w:r>
      <w:r>
        <w:rPr>
          <w:i/>
          <w:color w:val="000000"/>
          <w:sz w:val="22"/>
          <w:szCs w:val="24"/>
        </w:rPr>
        <w:t>6</w:t>
      </w:r>
      <w:r>
        <w:rPr>
          <w:color w:val="000000"/>
          <w:sz w:val="22"/>
          <w:szCs w:val="24"/>
        </w:rPr>
        <w:t xml:space="preserve"> — прокладка</w:t>
      </w:r>
    </w:p>
    <w:p w14:paraId="54E8D2A1">
      <w:pPr>
        <w:pStyle w:val="96"/>
        <w:spacing w:line="360" w:lineRule="auto"/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Рисунок 1 — Держатель испытуемой пробы в перевернутом положении</w:t>
      </w:r>
    </w:p>
    <w:p w14:paraId="37CEEC6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Крышка должна быть достаточно большой, чтобы ее можно было положить на рамку и покрыть испытуемую пробу, не касаясь ее.</w:t>
      </w:r>
    </w:p>
    <w:p w14:paraId="184FB21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Высота распорки должна быть 3 мм.</w:t>
      </w:r>
    </w:p>
    <w:p w14:paraId="1802B1E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Использование держателя испытуемой пробы показано в Приложении А, рисунки А.1–А.8.</w:t>
      </w:r>
    </w:p>
    <w:p w14:paraId="38459E34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20A0B44D">
      <w:pPr>
        <w:pStyle w:val="96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 Методы измерения и испытания</w:t>
      </w:r>
    </w:p>
    <w:p w14:paraId="0E37ED99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6.1 Общие положения</w:t>
      </w:r>
    </w:p>
    <w:p w14:paraId="70A2BA1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Описаны два метода. Метод А подразумевает техническую модификацию путем добавления газового счетчика к греющей пластине с имитацией потоотделения и горячей охранной зоной. Если нет возможности модифицировать оборудование, метод В может быть использован на любой греющей пластине с имитацией потоотделения и горячей охранной зоной, соответствующей EN ISO 11092.</w:t>
      </w:r>
    </w:p>
    <w:p w14:paraId="7BA9AE2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Определено, что оба метода дают схожие результаты.</w:t>
      </w:r>
    </w:p>
    <w:p w14:paraId="381E1462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0102208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169F24C9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 Метод А</w:t>
      </w:r>
    </w:p>
    <w:p w14:paraId="514B312D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6.2.1 Принцип испытания</w:t>
      </w:r>
    </w:p>
    <w:p w14:paraId="2DC4E2D2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Накопительную емкость и передачу жидкого пота текстильного материала измеряют с помощью греющей пластины с имитацией потоотделения и горячей охранной зоной, указанной в EN ISO 11092, с дополнительными компонентами: газовым счетчиком и двумя датчиками температуры на входе и выходе газового счетчика (рисунок 2).</w:t>
      </w:r>
    </w:p>
    <w:p w14:paraId="33F3518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4762500" cy="3552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2F09">
      <w:pPr>
        <w:pStyle w:val="96"/>
        <w:spacing w:line="360" w:lineRule="auto"/>
        <w:ind w:firstLine="709"/>
        <w:jc w:val="center"/>
        <w:rPr>
          <w:color w:val="000000"/>
          <w:sz w:val="22"/>
          <w:szCs w:val="24"/>
        </w:rPr>
      </w:pPr>
      <w:r>
        <w:rPr>
          <w:i/>
          <w:color w:val="000000"/>
          <w:sz w:val="22"/>
          <w:szCs w:val="24"/>
        </w:rPr>
        <w:t>1</w:t>
      </w:r>
      <w:r>
        <w:rPr>
          <w:color w:val="000000"/>
          <w:sz w:val="22"/>
          <w:szCs w:val="24"/>
        </w:rPr>
        <w:t xml:space="preserve"> — газовый счетчик, </w:t>
      </w:r>
      <w:r>
        <w:rPr>
          <w:i/>
          <w:color w:val="000000"/>
          <w:sz w:val="22"/>
          <w:szCs w:val="24"/>
        </w:rPr>
        <w:t>2</w:t>
      </w:r>
      <w:r>
        <w:rPr>
          <w:color w:val="000000"/>
          <w:sz w:val="22"/>
          <w:szCs w:val="24"/>
        </w:rPr>
        <w:t xml:space="preserve"> — </w:t>
      </w:r>
      <w:r>
        <w:rPr>
          <w:sz w:val="22"/>
          <w:szCs w:val="24"/>
        </w:rPr>
        <w:t xml:space="preserve">осушающая колонка, </w:t>
      </w:r>
      <w:r>
        <w:rPr>
          <w:i/>
          <w:color w:val="000000"/>
          <w:sz w:val="22"/>
          <w:szCs w:val="24"/>
        </w:rPr>
        <w:t>3</w:t>
      </w:r>
      <w:r>
        <w:rPr>
          <w:color w:val="000000"/>
          <w:sz w:val="22"/>
          <w:szCs w:val="24"/>
        </w:rPr>
        <w:t xml:space="preserve"> — климатическая камера (35°C, относительная влажность – 30 %), </w:t>
      </w:r>
      <w:r>
        <w:rPr>
          <w:i/>
          <w:color w:val="000000"/>
          <w:sz w:val="22"/>
          <w:szCs w:val="24"/>
        </w:rPr>
        <w:t>4</w:t>
      </w:r>
      <w:r>
        <w:rPr>
          <w:color w:val="000000"/>
          <w:sz w:val="22"/>
          <w:szCs w:val="24"/>
        </w:rPr>
        <w:t xml:space="preserve"> — воздушный насос, </w:t>
      </w:r>
      <w:r>
        <w:rPr>
          <w:i/>
          <w:color w:val="000000"/>
          <w:sz w:val="22"/>
          <w:szCs w:val="24"/>
        </w:rPr>
        <w:t>5</w:t>
      </w:r>
      <w:r>
        <w:rPr>
          <w:color w:val="000000"/>
          <w:sz w:val="22"/>
          <w:szCs w:val="24"/>
        </w:rPr>
        <w:t xml:space="preserve"> — испытуемая проба,                         </w:t>
      </w:r>
      <w:r>
        <w:rPr>
          <w:i/>
          <w:color w:val="000000"/>
          <w:sz w:val="22"/>
          <w:szCs w:val="24"/>
        </w:rPr>
        <w:t>6</w:t>
      </w:r>
      <w:r>
        <w:rPr>
          <w:color w:val="000000"/>
          <w:sz w:val="22"/>
          <w:szCs w:val="24"/>
        </w:rPr>
        <w:t xml:space="preserve"> — шприц, </w:t>
      </w:r>
      <w:r>
        <w:rPr>
          <w:i/>
          <w:color w:val="000000"/>
          <w:sz w:val="22"/>
          <w:szCs w:val="24"/>
        </w:rPr>
        <w:t>7</w:t>
      </w:r>
      <w:r>
        <w:rPr>
          <w:color w:val="000000"/>
          <w:sz w:val="22"/>
          <w:szCs w:val="24"/>
        </w:rPr>
        <w:t xml:space="preserve"> — полиэфирная ткань, </w:t>
      </w:r>
      <w:r>
        <w:rPr>
          <w:i/>
          <w:color w:val="000000"/>
          <w:sz w:val="22"/>
          <w:szCs w:val="24"/>
        </w:rPr>
        <w:t>8</w:t>
      </w:r>
      <w:r>
        <w:rPr>
          <w:color w:val="000000"/>
          <w:sz w:val="22"/>
          <w:szCs w:val="24"/>
        </w:rPr>
        <w:t xml:space="preserve"> — непроницаемая для воды и пара фольга, </w:t>
      </w:r>
    </w:p>
    <w:p w14:paraId="6FA2A3D3">
      <w:pPr>
        <w:pStyle w:val="96"/>
        <w:spacing w:line="360" w:lineRule="auto"/>
        <w:ind w:firstLine="709"/>
        <w:jc w:val="center"/>
        <w:rPr>
          <w:color w:val="000000"/>
          <w:sz w:val="22"/>
          <w:szCs w:val="24"/>
        </w:rPr>
      </w:pPr>
      <w:r>
        <w:rPr>
          <w:i/>
          <w:color w:val="000000"/>
          <w:sz w:val="22"/>
          <w:szCs w:val="24"/>
        </w:rPr>
        <w:t xml:space="preserve">9 </w:t>
      </w:r>
      <w:r>
        <w:rPr>
          <w:color w:val="000000"/>
          <w:sz w:val="22"/>
          <w:szCs w:val="24"/>
        </w:rPr>
        <w:t xml:space="preserve">— измерительный блок, </w:t>
      </w:r>
      <w:r>
        <w:rPr>
          <w:i/>
          <w:color w:val="000000"/>
          <w:sz w:val="22"/>
          <w:szCs w:val="24"/>
          <w:lang w:val="en-US"/>
        </w:rPr>
        <w:t>G</w:t>
      </w:r>
      <w:r>
        <w:rPr>
          <w:i/>
          <w:color w:val="000000"/>
          <w:sz w:val="22"/>
          <w:szCs w:val="24"/>
          <w:vertAlign w:val="subscript"/>
        </w:rPr>
        <w:t>0</w:t>
      </w:r>
      <w:r>
        <w:rPr>
          <w:color w:val="000000"/>
          <w:sz w:val="22"/>
          <w:szCs w:val="24"/>
        </w:rPr>
        <w:t xml:space="preserve">— ввод воды в полиэфирную ткань, </w:t>
      </w:r>
      <w:r>
        <w:rPr>
          <w:i/>
          <w:color w:val="000000"/>
          <w:sz w:val="22"/>
          <w:szCs w:val="24"/>
          <w:lang w:val="en-US"/>
        </w:rPr>
        <w:t>G</w:t>
      </w:r>
      <w:r>
        <w:rPr>
          <w:i/>
          <w:color w:val="000000"/>
          <w:sz w:val="22"/>
          <w:szCs w:val="24"/>
          <w:vertAlign w:val="subscript"/>
        </w:rPr>
        <w:t>1</w:t>
      </w:r>
      <w:r>
        <w:rPr>
          <w:color w:val="000000"/>
          <w:sz w:val="22"/>
          <w:szCs w:val="24"/>
        </w:rPr>
        <w:t xml:space="preserve"> — передача воды через испытуемую пробу, </w:t>
      </w:r>
      <w:r>
        <w:rPr>
          <w:i/>
          <w:color w:val="000000"/>
          <w:sz w:val="22"/>
          <w:szCs w:val="24"/>
          <w:lang w:val="en-US"/>
        </w:rPr>
        <w:t>G</w:t>
      </w:r>
      <w:r>
        <w:rPr>
          <w:i/>
          <w:color w:val="000000"/>
          <w:sz w:val="22"/>
          <w:szCs w:val="24"/>
          <w:vertAlign w:val="subscript"/>
        </w:rPr>
        <w:t>2</w:t>
      </w:r>
      <w:r>
        <w:rPr>
          <w:color w:val="000000"/>
          <w:sz w:val="22"/>
          <w:szCs w:val="24"/>
        </w:rPr>
        <w:t xml:space="preserve"> — впитывание пота</w:t>
      </w:r>
    </w:p>
    <w:p w14:paraId="6A771C3C">
      <w:pPr>
        <w:pStyle w:val="96"/>
        <w:spacing w:line="360" w:lineRule="auto"/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Рисунок 2 — Принцип аппаратуры</w:t>
      </w:r>
    </w:p>
    <w:p w14:paraId="18A8CD1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проведения испытания измерительный блок греющей пластины с имитацией потоотделения и горячей охранной зоной, поддерживаемый при температуре 35 °C, накрывают тонкой фольгой. Поверх фольги размещают полиэфирную ткань.</w:t>
      </w:r>
    </w:p>
    <w:p w14:paraId="0336019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 время испытания поток воздуха (скорость (1 ± 0,05) м/с) в климатической камере греющей пластины с имитацией потоотделения и горячей охранной зоной поддерживают при постоянной температуре (35,0 ± 0,5) °C и относительной влажности (RH) (30 ± 3) %. Это осуществляется с помощью воздушного насоса климатической камеры с мощностью накачки 3 000 л/ч. С помощью данного насоса воздух климатической камеры циркулирует через осушающую колонку, заполненную силикагелем в качестве осушающего агента. Общий объем воздуха, циркулирующего в течение периода испытания 15 мин, определяют с помощью газового счетчика.</w:t>
      </w:r>
    </w:p>
    <w:p w14:paraId="4AA580E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 время испытания происходит диффузия пара через испытуемую пробу из-за разницы в давлении пара между поверхностью полиэфирной ткани, размещенной на измерительном блоке, и воздуха внутри климатической камеры. Кроме того, испытуемая проба </w:t>
      </w:r>
      <w:r>
        <w:rPr>
          <w:sz w:val="24"/>
          <w:szCs w:val="24"/>
        </w:rPr>
        <w:t xml:space="preserve">поглощает воду из нижележащей полиэфирной ткани, которая имитирует потоотделение человеческой кожи. Данная вода, поглощенная испытуемой пробой, также, по крайней мере, частично передается </w:t>
      </w:r>
      <w:r>
        <w:rPr>
          <w:color w:val="000000"/>
          <w:sz w:val="24"/>
          <w:szCs w:val="24"/>
        </w:rPr>
        <w:t xml:space="preserve">в воздух климатического шкафа. Общее количество влаги в виде пара, передаваемое в окружающий воздух, определяют влажностью объема воздуха, который необходимо пропустить из климатической камеры через </w:t>
      </w:r>
      <w:r>
        <w:rPr>
          <w:sz w:val="24"/>
          <w:szCs w:val="24"/>
        </w:rPr>
        <w:t xml:space="preserve">осушающую колонку </w:t>
      </w:r>
      <w:r>
        <w:rPr>
          <w:color w:val="000000"/>
          <w:sz w:val="24"/>
          <w:szCs w:val="24"/>
        </w:rPr>
        <w:t>для поддержания давления пара внутри климатической камеры на заданном значении относительной влажности 30 % (= 16,9 гПа).</w:t>
      </w:r>
    </w:p>
    <w:p w14:paraId="7087DC3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желании можно использовать держатель испытуемой пробы (5.4) для повышения воспроизводимости измерений. Данное устройство выполняет две функции: (1) в нормальном положении оно действует как держатель испытуемой пробы и (2) когда оно перевернуто, оно действует как крышка. Когда устройство действует как держатель испытуемой пробы, система зажимов позволяет переносить испытуемую пробу в закрытом положении и укладывать ее на полиэфирную ткань в открытом положении. Таким образом, испытуемую пробу можно уложить на полиэфирную ткань за одну операцию с максимальной плоскостностью. Испытуемую пробу укладывают с расстояния, определяемого распорками. Когда устройство действует как крышка, можно накрыть смоченную полиэфирную ткань, чтобы позволить жидкой </w:t>
      </w:r>
      <w:r>
        <w:rPr>
          <w:sz w:val="24"/>
          <w:szCs w:val="24"/>
        </w:rPr>
        <w:t xml:space="preserve">воде </w:t>
      </w:r>
      <w:r>
        <w:rPr>
          <w:color w:val="000000"/>
          <w:sz w:val="24"/>
          <w:szCs w:val="24"/>
        </w:rPr>
        <w:t>полностью и равномерно распределиться, избегая испарения.</w:t>
      </w:r>
    </w:p>
    <w:p w14:paraId="23F95FED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6.2.2 Испытуемые пробы</w:t>
      </w:r>
    </w:p>
    <w:p w14:paraId="0509FC44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Размеры испытуемых проб составляют 21 x 21 см. Из каждого испытуемого материала отбирают и испытывают не менее трех испытуемых проб. Перед испытанием испытуемые пробы следует выдержать в климатических условиях не менее 24 часов при температуре 35 °C, и относительной влажности 30 %. </w:t>
      </w:r>
    </w:p>
    <w:p w14:paraId="0F208162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6.2.3 Процедура испытания</w:t>
      </w:r>
    </w:p>
    <w:p w14:paraId="2828626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Водо- и паронепроницаемую фольгу, а также полиэфирную ткань помещают на измерительный блок греющей пластины с имитацией потоотделения и горячей охранной зоной. Чашу с водой объемом около 0,21 л и температурой 35 °C помещают в климатическую камеру. Измерительный блок устанавливают на (35 ± 0,1) °C, а воздух в климатической камере устанавливают на (35 ± 0,5) °C (изотермические условия). Относительную влажность внутри климатического шкафа устанавливают на (30 ± 3) %. Скорость потока воздуха в климатическом шкафу устанавливают на (1 ± 0,05) м/с.</w:t>
      </w:r>
    </w:p>
    <w:p w14:paraId="575571E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того, как воздух в климатическом шкафу достигнет устойчивой температуры 35 °C и относительной влажности 30 %, кондиционированную испытуемую пробу взвешивают (m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).</w:t>
      </w:r>
    </w:p>
    <w:p w14:paraId="36B3BD5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Воздушный насос климатического шкафа выключают, а газовый счетчик сбрасывают на 0. Затем климатическую камеру открывают и вынимают емкость с водой. После этого с помощью шприца (15 ± 0,5) г воды (см. раздел 4) с температурой 35 °C равномерно распределяют по полиэфирной ткани. Затем испытуемую пробу размещают без складок на полиэфирной ткани и край, обращенный к потоку воздуха в климатическом шкафу, фиксируют липкой лентой на измерительном столе греющей пластины с имитацией потоотделения и горячей охранной зоной. Климатическую камеру закрывают, включают воздушный насос и начинают испытание. </w:t>
      </w:r>
    </w:p>
    <w:p w14:paraId="6995A772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используют держатель испытуемой пробы, то сразу после распределения воды на полиэфирной ткани, его помещают на измерительный блок в качестве крышки с испытуемой пробой на его верхней поверхности. Климатическую камеру закрывают. Прошедший период в 5 мин позволяет воде равномерно распределиться по полиэфирной ткани. Климатический шкаф открывают. Держатель испытуемой пробы переворачивают, и испытуемую пробу кладут на полиэфирную ткань, отпустив зажимы. Сразу после этого климатический шкаф закрывают и включают воздушный насос для начала испытания.</w:t>
      </w:r>
    </w:p>
    <w:p w14:paraId="1EA07E7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Примерно через 13 мин после начала испытания регистрируют температуры воздуха на входе и выходе газового счетчика 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  <w:lang w:val="en-US"/>
        </w:rPr>
        <w:t>i</w:t>
      </w:r>
      <w:r>
        <w:rPr>
          <w:color w:val="000000"/>
          <w:sz w:val="24"/>
          <w:szCs w:val="24"/>
        </w:rPr>
        <w:t xml:space="preserve"> и </w:t>
      </w:r>
      <w:r>
        <w:rPr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o</w:t>
      </w:r>
      <w:r>
        <w:rPr>
          <w:color w:val="000000"/>
          <w:sz w:val="24"/>
          <w:szCs w:val="24"/>
        </w:rPr>
        <w:t xml:space="preserve"> соответственно. Через (900 ± 5) с (определяют секундомером) испытание завершают, выключают воздушный насос и регистрируют объем воздуха </w:t>
      </w:r>
      <w:r>
        <w:rPr>
          <w:i/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А</w:t>
      </w:r>
      <w:r>
        <w:rPr>
          <w:color w:val="000000"/>
          <w:sz w:val="24"/>
          <w:szCs w:val="24"/>
        </w:rPr>
        <w:t>, измеренный газовым счетчиком. Затем испытуемую пробу извлекают и взвешивают (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).</w:t>
      </w:r>
    </w:p>
    <w:p w14:paraId="3298A689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6.2.4 Расчет результатов испытания</w:t>
      </w:r>
    </w:p>
    <w:p w14:paraId="0BCA083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6.2.4.1 Влагопроницаемость</w:t>
      </w:r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lang w:val="en-US"/>
        </w:rPr>
        <w:t>F</w:t>
      </w:r>
      <w:r>
        <w:rPr>
          <w:color w:val="000000"/>
          <w:sz w:val="24"/>
          <w:szCs w:val="24"/>
          <w:vertAlign w:val="subscript"/>
        </w:rPr>
        <w:t>1</w:t>
      </w:r>
    </w:p>
    <w:p w14:paraId="23F6FB0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Влагопроницаемость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, в г/(м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·ч·гПа), испытуемой пробы, определяют следующим образом:</w:t>
      </w:r>
    </w:p>
    <w:p w14:paraId="39B100AC">
      <w:pPr>
        <w:pStyle w:val="96"/>
        <w:spacing w:line="360" w:lineRule="auto"/>
        <w:ind w:firstLine="709"/>
        <w:jc w:val="right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F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G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1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∆</m:t>
            </m:r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p</m:t>
            </m:r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∙</m:t>
            </m:r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t</m:t>
            </m:r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∙</m:t>
            </m:r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a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den>
        </m:f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  </m:t>
        </m:r>
      </m:oMath>
      <w:r>
        <w:rPr>
          <w:color w:val="000000"/>
          <w:sz w:val="24"/>
          <w:szCs w:val="24"/>
        </w:rPr>
        <w:t>[г/(м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·ч·гПа)],                                           (1)</w:t>
      </w:r>
    </w:p>
    <w:p w14:paraId="0CD42CD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</w:p>
    <w:p w14:paraId="354B26DD">
      <w:pPr>
        <w:pStyle w:val="96"/>
        <w:spacing w:line="360" w:lineRule="auto"/>
        <w:ind w:firstLine="709"/>
        <w:jc w:val="right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V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ub>
            </m:s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c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1000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den>
        </m:f>
      </m:oMath>
      <w:r>
        <w:rPr>
          <w:color w:val="000000"/>
          <w:sz w:val="24"/>
          <w:szCs w:val="24"/>
        </w:rPr>
        <w:t xml:space="preserve">   (г)                                                    (2)</w:t>
      </w:r>
    </w:p>
    <w:p w14:paraId="5E1E585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</w:p>
    <w:p w14:paraId="7E5DE225">
      <w:pPr>
        <w:pStyle w:val="96"/>
        <w:spacing w:line="360" w:lineRule="auto"/>
        <w:ind w:firstLine="709"/>
        <w:jc w:val="right"/>
        <w:rPr>
          <w:i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с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А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216,6∙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p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num>
          <m:den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 xml:space="preserve">273+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T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  <w:lang w:val="en-US"/>
                  </w:rPr>
                  <m:t>a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den>
        </m:f>
        <m:r>
          <m:rPr/>
          <w:rPr>
            <w:rFonts w:ascii="Cambria Math" w:hAnsi="Cambria Math"/>
            <w:color w:val="000000"/>
            <w:sz w:val="28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d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 xml:space="preserve">1+ 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a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−(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i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/>
                        <w:color w:val="000000"/>
                        <w:sz w:val="28"/>
                        <w:szCs w:val="24"/>
                        <w:lang w:val="en-US"/>
                      </w:rPr>
                      <m:t>o</m:t>
                    </m: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4"/>
                        <w:lang w:val="en-US"/>
                      </w:rPr>
                    </m:ctrlPr>
                  </m:sub>
                </m:s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)/2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273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  <w:lang w:val="en-US"/>
                  </w:rPr>
                </m:ctrlPr>
              </m:den>
            </m:f>
            <m:ctrlPr>
              <w:rPr>
                <w:rFonts w:ascii="Cambria Math" w:hAnsi="Cambria Math"/>
                <w:i/>
                <w:color w:val="000000"/>
                <w:sz w:val="28"/>
                <w:szCs w:val="24"/>
                <w:lang w:val="en-US"/>
              </w:rPr>
            </m:ctrlPr>
          </m:e>
        </m:d>
      </m:oMath>
      <w:r>
        <w:rPr>
          <w:color w:val="000000"/>
          <w:sz w:val="24"/>
          <w:szCs w:val="24"/>
        </w:rPr>
        <w:t xml:space="preserve">   (г/м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),                           (3)</w:t>
      </w:r>
    </w:p>
    <w:p w14:paraId="69E042A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i/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— количество воды, переданное через испытуемую пробу во время испытания, в г;</w:t>
      </w:r>
    </w:p>
    <w:p w14:paraId="2943B053">
      <w:pPr>
        <w:pStyle w:val="96"/>
        <w:spacing w:line="360" w:lineRule="auto"/>
        <w:ind w:firstLine="709"/>
        <w:jc w:val="both"/>
        <w:rPr>
          <w:color w:val="000000"/>
          <w:sz w:val="22"/>
          <w:szCs w:val="24"/>
        </w:rPr>
      </w:pPr>
      <w:r>
        <w:rPr>
          <w:color w:val="000000"/>
          <w:sz w:val="28"/>
          <w:szCs w:val="24"/>
        </w:rPr>
        <w:t xml:space="preserve">      </w:t>
      </w:r>
      <m:oMath>
        <m:r>
          <m:rPr/>
          <w:rPr>
            <w:rFonts w:ascii="Cambria Math" w:hAnsi="Cambria Math"/>
            <w:color w:val="000000"/>
            <w:sz w:val="28"/>
            <w:szCs w:val="24"/>
          </w:rPr>
          <m:t>∆</m:t>
        </m:r>
        <m:r>
          <m:rPr/>
          <w:rPr>
            <w:rFonts w:ascii="Cambria Math" w:hAnsi="Cambria Math"/>
            <w:color w:val="000000"/>
            <w:sz w:val="28"/>
            <w:szCs w:val="24"/>
            <w:lang w:val="en-US"/>
          </w:rPr>
          <m:t>p</m:t>
        </m:r>
      </m:oMath>
      <w:r>
        <w:rPr>
          <w:color w:val="000000"/>
          <w:sz w:val="28"/>
          <w:szCs w:val="24"/>
        </w:rPr>
        <w:t xml:space="preserve"> </w:t>
      </w:r>
      <w:r>
        <w:rPr>
          <w:color w:val="000000"/>
          <w:sz w:val="24"/>
          <w:szCs w:val="24"/>
        </w:rPr>
        <w:t>— разница давлений пара между двумя сторонами испытуемой пробы, в гПа (= 39,3 гПа);</w:t>
      </w:r>
    </w:p>
    <w:p w14:paraId="4502FAE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>
        <w:rPr>
          <w:color w:val="000000"/>
          <w:sz w:val="24"/>
          <w:szCs w:val="24"/>
          <w:lang w:val="en-US"/>
        </w:rPr>
        <w:t>t</w:t>
      </w:r>
      <w:r>
        <w:rPr>
          <w:color w:val="000000"/>
          <w:sz w:val="24"/>
          <w:szCs w:val="24"/>
        </w:rPr>
        <w:t xml:space="preserve"> — период испытания, в ч (= 0,25 ч);</w:t>
      </w:r>
    </w:p>
    <w:p w14:paraId="793A392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а — площадь полиэфирной ткани, в 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 (= 0,04 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);</w:t>
      </w:r>
    </w:p>
    <w:p w14:paraId="76CA892F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  <w:vertAlign w:val="subscript"/>
          <w:lang w:val="en-US"/>
        </w:rPr>
        <w:t>A</w:t>
      </w:r>
      <w:r>
        <w:rPr>
          <w:color w:val="000000"/>
          <w:sz w:val="24"/>
          <w:szCs w:val="24"/>
        </w:rPr>
        <w:t xml:space="preserve"> — объем воздуха, измеренный газовым счетчиком, после периода испытания, в л;</w:t>
      </w:r>
    </w:p>
    <w:p w14:paraId="1DE49AA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с</w:t>
      </w:r>
      <w:r>
        <w:rPr>
          <w:color w:val="000000"/>
          <w:sz w:val="24"/>
          <w:szCs w:val="24"/>
          <w:vertAlign w:val="subscript"/>
        </w:rPr>
        <w:t>А</w:t>
      </w:r>
      <w:r>
        <w:rPr>
          <w:color w:val="000000"/>
          <w:sz w:val="24"/>
          <w:szCs w:val="24"/>
        </w:rPr>
        <w:t xml:space="preserve"> — поправочный коэффициент для объема воздуха, зарегистрированного на газовом счетчике, в г/м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;</w:t>
      </w:r>
    </w:p>
    <w:p w14:paraId="439EE4C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р</w:t>
      </w:r>
      <w:r>
        <w:rPr>
          <w:color w:val="000000"/>
          <w:sz w:val="24"/>
          <w:szCs w:val="24"/>
          <w:vertAlign w:val="subscript"/>
        </w:rPr>
        <w:t>а</w:t>
      </w:r>
      <w:r>
        <w:rPr>
          <w:color w:val="000000"/>
          <w:sz w:val="24"/>
          <w:szCs w:val="24"/>
        </w:rPr>
        <w:t xml:space="preserve"> — давление пара в климатическом шкафу, в гПа (= 16,9 гПа);</w:t>
      </w:r>
    </w:p>
    <w:p w14:paraId="4E7A2DA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Т</w:t>
      </w:r>
      <w:r>
        <w:rPr>
          <w:color w:val="000000"/>
          <w:sz w:val="24"/>
          <w:szCs w:val="24"/>
          <w:vertAlign w:val="subscript"/>
        </w:rPr>
        <w:t>а</w:t>
      </w:r>
      <w:r>
        <w:rPr>
          <w:color w:val="000000"/>
          <w:sz w:val="24"/>
          <w:szCs w:val="24"/>
        </w:rPr>
        <w:t xml:space="preserve"> — температура воздуха в климатической камере, в °С (= 35 °С);</w:t>
      </w:r>
    </w:p>
    <w:p w14:paraId="004907A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Т</w:t>
      </w:r>
      <w:r>
        <w:rPr>
          <w:color w:val="000000"/>
          <w:sz w:val="24"/>
          <w:szCs w:val="24"/>
          <w:vertAlign w:val="subscript"/>
          <w:lang w:val="en-US"/>
        </w:rPr>
        <w:t>i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— температура воздуха на входе в газовом счетчике, в °С;</w:t>
      </w:r>
    </w:p>
    <w:p w14:paraId="1A018E1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Т</w:t>
      </w:r>
      <w:r>
        <w:rPr>
          <w:color w:val="000000"/>
          <w:sz w:val="24"/>
          <w:szCs w:val="24"/>
          <w:vertAlign w:val="subscript"/>
        </w:rPr>
        <w:t>о</w:t>
      </w:r>
      <w:r>
        <w:rPr>
          <w:color w:val="000000"/>
          <w:sz w:val="24"/>
          <w:szCs w:val="24"/>
        </w:rPr>
        <w:t xml:space="preserve"> — температура воздуха на выходе в газовом счетчике, в °С.</w:t>
      </w:r>
    </w:p>
    <w:p w14:paraId="5C94F852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6.2.4.2 </w:t>
      </w:r>
      <w:r>
        <w:rPr>
          <w:b/>
          <w:sz w:val="24"/>
          <w:szCs w:val="24"/>
        </w:rPr>
        <w:t>Передача пота</w:t>
      </w:r>
      <w:r>
        <w:rPr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lang w:val="en-US"/>
        </w:rPr>
        <w:t>F</w:t>
      </w:r>
    </w:p>
    <w:p w14:paraId="2C6010A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условии определенных климатических условий (например, 25 °C, 50 % относительной влажности) из значения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можно вывести количество жидкого пота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 в г, которое в течение 1 ч может быть передано от кожи пользователя 1 м² испытуемого текстильного материала:</w:t>
      </w:r>
    </w:p>
    <w:p w14:paraId="11683118">
      <w:pPr>
        <w:pStyle w:val="96"/>
        <w:spacing w:line="360" w:lineRule="auto"/>
        <w:ind w:firstLine="709"/>
        <w:jc w:val="right"/>
        <w:rPr>
          <w:color w:val="000000"/>
          <w:sz w:val="24"/>
          <w:szCs w:val="24"/>
        </w:rPr>
      </w:pPr>
      <m:oMath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F=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F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∙∆P</m:t>
        </m:r>
      </m:oMath>
      <w:r>
        <w:rPr>
          <w:color w:val="000000"/>
          <w:sz w:val="24"/>
          <w:szCs w:val="24"/>
        </w:rPr>
        <w:t xml:space="preserve"> (г/м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·ч)                                                    (4)</w:t>
      </w:r>
    </w:p>
    <w:p w14:paraId="6188872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</w:p>
    <w:p w14:paraId="50AC9781">
      <w:pPr>
        <w:pStyle w:val="96"/>
        <w:spacing w:line="360" w:lineRule="auto"/>
        <w:ind w:firstLine="709"/>
        <w:jc w:val="right"/>
        <w:rPr>
          <w:color w:val="000000"/>
          <w:sz w:val="24"/>
          <w:szCs w:val="24"/>
        </w:rPr>
      </w:pPr>
      <m:oMath>
        <m:r>
          <m:rPr/>
          <w:rPr>
            <w:rFonts w:ascii="Cambria Math" w:hAnsi="Cambria Math"/>
            <w:color w:val="000000"/>
            <w:sz w:val="28"/>
            <w:szCs w:val="24"/>
          </w:rPr>
          <m:t>∆P=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s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A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</m:oMath>
      <w:r>
        <w:rPr>
          <w:color w:val="000000"/>
          <w:sz w:val="24"/>
          <w:szCs w:val="24"/>
        </w:rPr>
        <w:t>(гПа),                                                     (5)</w:t>
      </w:r>
    </w:p>
    <w:p w14:paraId="2EA33E9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color w:val="000000"/>
          <w:sz w:val="24"/>
          <w:szCs w:val="24"/>
          <w:lang w:val="en-US"/>
        </w:rPr>
        <w:t>p</w:t>
      </w:r>
      <w:r>
        <w:rPr>
          <w:color w:val="000000"/>
          <w:sz w:val="24"/>
          <w:szCs w:val="24"/>
          <w:vertAlign w:val="subscript"/>
          <w:lang w:val="en-US"/>
        </w:rPr>
        <w:t>s</w:t>
      </w:r>
      <w:r>
        <w:rPr>
          <w:color w:val="000000"/>
          <w:sz w:val="24"/>
          <w:szCs w:val="24"/>
        </w:rPr>
        <w:t xml:space="preserve"> — давление пара на кожу пользователя, в гПа (= 56,2 гПа);</w:t>
      </w:r>
    </w:p>
    <w:p w14:paraId="22A85CF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p</w:t>
      </w:r>
      <w:r>
        <w:rPr>
          <w:color w:val="000000"/>
          <w:sz w:val="24"/>
          <w:szCs w:val="24"/>
          <w:vertAlign w:val="subscript"/>
          <w:lang w:val="en-US"/>
        </w:rPr>
        <w:t>A</w:t>
      </w:r>
      <w:r>
        <w:rPr>
          <w:color w:val="000000"/>
          <w:sz w:val="24"/>
          <w:szCs w:val="24"/>
        </w:rPr>
        <w:t xml:space="preserve"> — давление пара окружающей среды, в гПа.</w:t>
      </w:r>
    </w:p>
    <w:p w14:paraId="11A7F53D">
      <w:pPr>
        <w:pStyle w:val="96"/>
        <w:spacing w:line="360" w:lineRule="auto"/>
        <w:ind w:firstLine="709"/>
        <w:jc w:val="both"/>
        <w:rPr>
          <w:i/>
          <w:color w:val="000000"/>
          <w:sz w:val="24"/>
          <w:szCs w:val="24"/>
          <w:vertAlign w:val="subscript"/>
        </w:rPr>
      </w:pPr>
      <w:r>
        <w:rPr>
          <w:b/>
          <w:color w:val="000000"/>
          <w:sz w:val="24"/>
          <w:szCs w:val="24"/>
        </w:rPr>
        <w:t xml:space="preserve">6.2.4.3 Впитывание пота </w:t>
      </w:r>
      <w:r>
        <w:rPr>
          <w:i/>
          <w:color w:val="000000"/>
          <w:sz w:val="24"/>
          <w:szCs w:val="24"/>
          <w:lang w:val="en-US"/>
        </w:rPr>
        <w:t>G</w:t>
      </w:r>
      <w:r>
        <w:rPr>
          <w:i/>
          <w:color w:val="000000"/>
          <w:sz w:val="24"/>
          <w:szCs w:val="24"/>
          <w:vertAlign w:val="subscript"/>
        </w:rPr>
        <w:t>2</w:t>
      </w:r>
    </w:p>
    <w:p w14:paraId="058DEA34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Впитывание пота – это количество воды в граммах, впитанное </w:t>
      </w:r>
      <w:r>
        <w:rPr>
          <w:color w:val="000000"/>
          <w:sz w:val="24"/>
          <w:szCs w:val="24"/>
        </w:rPr>
        <w:t>испытуемой пробой за наименьший период времени:</w:t>
      </w:r>
    </w:p>
    <w:p w14:paraId="73C0DFC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</m:t>
        </m:r>
      </m:oMath>
      <w:r>
        <w:rPr>
          <w:color w:val="000000"/>
          <w:sz w:val="24"/>
          <w:szCs w:val="24"/>
        </w:rPr>
        <w:t>(г),                                                 (6)</w:t>
      </w:r>
    </w:p>
    <w:p w14:paraId="1EB18B16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– масса кондиционированной испытуемой пробы до испытания, в г;</w:t>
      </w:r>
    </w:p>
    <w:p w14:paraId="2722F1B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 xml:space="preserve">2 </w:t>
      </w:r>
      <w:r>
        <w:rPr>
          <w:color w:val="000000"/>
          <w:sz w:val="24"/>
          <w:szCs w:val="24"/>
        </w:rPr>
        <w:t>– масса испытуемой пробы после испытания, в г.</w:t>
      </w:r>
    </w:p>
    <w:p w14:paraId="24BDB36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6.2.4.4 Индекс накопления</w:t>
      </w:r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  <w:vertAlign w:val="subscript"/>
          <w:lang w:val="en-US"/>
        </w:rPr>
        <w:t>f</w:t>
      </w:r>
    </w:p>
    <w:p w14:paraId="1D92248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Накопительную способность текстильного материала количественно определяют индексом накопления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, выражающим отношение воды (пота), которая после имитированного импульса потоотделения на греющей пластине с имитацией потоотделения и горячей охранной зоной </w:t>
      </w:r>
      <w:r>
        <w:rPr>
          <w:sz w:val="24"/>
          <w:szCs w:val="24"/>
        </w:rPr>
        <w:t xml:space="preserve">впитывается </w:t>
      </w:r>
      <w:r>
        <w:rPr>
          <w:color w:val="000000"/>
          <w:sz w:val="24"/>
          <w:szCs w:val="24"/>
        </w:rPr>
        <w:t>и/или передается испытуемой пробой в течение периода испытания, к количеству воды (пота), подведенной к испытуемой пробе:</w:t>
      </w:r>
    </w:p>
    <w:p w14:paraId="5B193486">
      <w:pPr>
        <w:pStyle w:val="96"/>
        <w:spacing w:line="360" w:lineRule="auto"/>
        <w:ind w:firstLine="709"/>
        <w:jc w:val="right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  <w:lang w:val="en-US"/>
              </w:rPr>
              <m:t>K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f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G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1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ub>
            </m:s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G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2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G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/>
                    <w:color w:val="000000"/>
                    <w:sz w:val="28"/>
                    <w:szCs w:val="24"/>
                  </w:rPr>
                  <m:t>0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4"/>
                  </w:rPr>
                </m:ctrlPr>
              </m:sub>
            </m:sSub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den>
        </m:f>
      </m:oMath>
      <w:r>
        <w:rPr>
          <w:color w:val="000000"/>
          <w:sz w:val="24"/>
          <w:szCs w:val="24"/>
        </w:rPr>
        <w:t xml:space="preserve"> ,                                                      (7)</w:t>
      </w:r>
    </w:p>
    <w:p w14:paraId="23F6FF8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  <w:vertAlign w:val="subscript"/>
        </w:rPr>
        <w:t>0</w:t>
      </w:r>
      <w:r>
        <w:rPr>
          <w:color w:val="000000"/>
          <w:sz w:val="24"/>
          <w:szCs w:val="24"/>
        </w:rPr>
        <w:t xml:space="preserve"> — количество воды (=15 г), вводимой в полиэфирную ткань, в г.</w:t>
      </w:r>
    </w:p>
    <w:p w14:paraId="7780649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 безразмерный показатель и имеет значения от 0 до 1. Чем ближе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 к 1, тем лучше накопительная емкость текстильного материала, идеальный случай, когда весь пот, выделяющийся во время импульса потоотделения, поглощается и передается текстильным материалом.</w:t>
      </w:r>
    </w:p>
    <w:p w14:paraId="0C9BE852">
      <w:pPr>
        <w:pStyle w:val="96"/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6.2.5 Физиологическая оценка текстильного материала</w:t>
      </w:r>
    </w:p>
    <w:p w14:paraId="19C8565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физиологической точки зрения считается, что чем выше индекс накопления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, тем лучше текстильный материал. Если для двух текстильных материалов обнаружены одинаковые или близкие значения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, тот, у которого выше передача пота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>, будет считаться лучше, поскольку он способен не только лучше поглощать количество влаги, связанное с импульсом потоотделения, но и передавать влагу от кожи пользователя.</w:t>
      </w:r>
    </w:p>
    <w:p w14:paraId="3CC551C6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6.2.6 Калибровка испытательной аппаратуры</w:t>
      </w:r>
    </w:p>
    <w:p w14:paraId="7577AE1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Перед каждой серией испытаний прибор калибруют с использованием стандартного текстильного материала</w:t>
      </w:r>
      <w:r>
        <w:rPr>
          <w:rStyle w:val="6"/>
          <w:color w:val="000000"/>
          <w:sz w:val="24"/>
          <w:szCs w:val="24"/>
        </w:rPr>
        <w:footnoteReference w:id="1" w:customMarkFollows="1"/>
        <w:t>2)</w:t>
      </w:r>
      <w:r>
        <w:rPr>
          <w:color w:val="000000"/>
          <w:sz w:val="24"/>
          <w:szCs w:val="24"/>
        </w:rPr>
        <w:t xml:space="preserve"> с известным индексом накопления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, и </w:t>
      </w:r>
      <w:r>
        <w:rPr>
          <w:sz w:val="24"/>
          <w:szCs w:val="24"/>
        </w:rPr>
        <w:t xml:space="preserve">известной передачей пота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. Кроме того, через регулярные интервалы проводят испытание на «голой пластине» без текстильного материала на полиэфирной ткани, на которую нанесено 15 г воды, как описано в 6.2.3. Испытание проводят до полного высыхания полиэфирной ткани. Затем количество воды 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, определенное согласно 6.2.3, должно составлять (15,00 ± 0,75) г.</w:t>
      </w:r>
    </w:p>
    <w:p w14:paraId="50B69AD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249FBAED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6.2.7 Прецизионность результатов</w:t>
      </w:r>
    </w:p>
    <w:p w14:paraId="019ADAD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проведении 3 отдельных испытаний для каждого текстильного материала прецзионность (стандартное отклонение) индекса накопления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 составляет 0,02, влагопроницаемости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составляет 0,48 г/(м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·ч·гПа), а впитывания пота 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составляет 0,3 г.</w:t>
      </w:r>
    </w:p>
    <w:p w14:paraId="37993D6C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6.2.8 Протокол испытаний</w:t>
      </w:r>
    </w:p>
    <w:p w14:paraId="6E1172D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Протокол испытаний должен включать как минимум следующую информацию:</w:t>
      </w:r>
    </w:p>
    <w:p w14:paraId="2E6EB89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ссылку на настоящий стандарт;</w:t>
      </w:r>
    </w:p>
    <w:p w14:paraId="68ACF5B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используемый метод (метод A или метод B);</w:t>
      </w:r>
    </w:p>
    <w:p w14:paraId="4E5C2EE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полное описание испытанного текстильного материала;</w:t>
      </w:r>
    </w:p>
    <w:p w14:paraId="4180F6B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d) количество испытуемых проб для каждого испытуемого текстильного материала и количество отдельных измерений на каждой испытуемой пробе;</w:t>
      </w:r>
    </w:p>
    <w:p w14:paraId="0B85A24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e) среднеарифметическое значение индекса накопления </w:t>
      </w:r>
      <w:r>
        <w:rPr>
          <w:i/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</w:rPr>
        <w:t xml:space="preserve">, передачи пота </w:t>
      </w:r>
      <w:r>
        <w:rPr>
          <w:i/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 и впитывания пота 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;</w:t>
      </w:r>
    </w:p>
    <w:p w14:paraId="20B012F4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f) любые отклонения от настоящего стандарта;</w:t>
      </w:r>
    </w:p>
    <w:p w14:paraId="1DD3F036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g) любые наблюдаемые необычные особенности;</w:t>
      </w:r>
    </w:p>
    <w:p w14:paraId="40CE91E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h) дата испытания.</w:t>
      </w:r>
    </w:p>
    <w:p w14:paraId="13F3A520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 Метод B (модификация метода A)</w:t>
      </w:r>
    </w:p>
    <w:p w14:paraId="051270C7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6.3.1 Принцип испытания</w:t>
      </w:r>
    </w:p>
    <w:p w14:paraId="123A8DF0">
      <w:pPr>
        <w:pStyle w:val="96"/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Газометр, используемый для измерения количества переданной жидкой </w:t>
      </w:r>
      <w:r>
        <w:rPr>
          <w:sz w:val="24"/>
          <w:szCs w:val="24"/>
        </w:rPr>
        <w:t>воды, заменяют процедурой взвешивания испытуемой пробы и полиэфирной ткани до и после периода измерения. Требуются весы с точностью 0,01 г.</w:t>
      </w:r>
    </w:p>
    <w:p w14:paraId="71080F1A">
      <w:pPr>
        <w:pStyle w:val="96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иное не указано в данной процедуре, другие определения, условия и параметры испытания являются такими же, как в методе A.</w:t>
      </w:r>
    </w:p>
    <w:p w14:paraId="5B4E251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Количество жидкой воды, переданное </w:t>
      </w:r>
      <w:r>
        <w:rPr>
          <w:color w:val="000000"/>
          <w:sz w:val="24"/>
          <w:szCs w:val="24"/>
        </w:rPr>
        <w:t>через испытуемую пробу (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), и количество, оставшееся в испытуемой пробе (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) через 15 мин, можно рассчитать по следующим формулам:</w:t>
      </w:r>
    </w:p>
    <w:p w14:paraId="71D0E4B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s,2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s,1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</m:t>
        </m:r>
      </m:oMath>
      <w:r>
        <w:rPr>
          <w:color w:val="000000"/>
          <w:sz w:val="24"/>
          <w:szCs w:val="24"/>
        </w:rPr>
        <w:t>(г),                                               (8)</w:t>
      </w:r>
    </w:p>
    <w:p w14:paraId="7077DE8A">
      <w:pPr>
        <w:pStyle w:val="96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</w:t>
      </w:r>
      <m:oMath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0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− (m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p,2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p,1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)−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 </m:t>
        </m:r>
      </m:oMath>
      <w:r>
        <w:rPr>
          <w:color w:val="000000"/>
          <w:sz w:val="24"/>
          <w:szCs w:val="24"/>
        </w:rPr>
        <w:t>(г),                                    (9)</w:t>
      </w:r>
    </w:p>
    <w:p w14:paraId="6139F70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  <w:lang w:val="en-US"/>
        </w:rPr>
        <w:t>s</w:t>
      </w:r>
      <w:r>
        <w:rPr>
          <w:color w:val="000000"/>
          <w:sz w:val="24"/>
          <w:szCs w:val="24"/>
          <w:vertAlign w:val="subscript"/>
        </w:rPr>
        <w:t>,1</w:t>
      </w:r>
      <w:r>
        <w:rPr>
          <w:color w:val="000000"/>
          <w:sz w:val="24"/>
          <w:szCs w:val="24"/>
        </w:rPr>
        <w:t xml:space="preserve"> – масса испытуемой пробы до измерения, в г;</w:t>
      </w:r>
    </w:p>
    <w:p w14:paraId="07C76FB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  <w:lang w:val="en-US"/>
        </w:rPr>
        <w:t>s</w:t>
      </w:r>
      <w:r>
        <w:rPr>
          <w:color w:val="000000"/>
          <w:sz w:val="24"/>
          <w:szCs w:val="24"/>
          <w:vertAlign w:val="subscript"/>
        </w:rPr>
        <w:t>,2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– масса испытуемой пробы после периода испытания (=15 мин), в г;</w:t>
      </w:r>
    </w:p>
    <w:p w14:paraId="56455A7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р,1</w:t>
      </w:r>
      <w:r>
        <w:rPr>
          <w:color w:val="000000"/>
          <w:sz w:val="24"/>
          <w:szCs w:val="24"/>
        </w:rPr>
        <w:t xml:space="preserve"> – масса полиэфирной ткани до измерения, в г;</w:t>
      </w:r>
    </w:p>
    <w:p w14:paraId="1C4C2DC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р,2</w:t>
      </w:r>
      <w:r>
        <w:rPr>
          <w:color w:val="000000"/>
          <w:sz w:val="24"/>
          <w:szCs w:val="24"/>
        </w:rPr>
        <w:t xml:space="preserve"> – масса полиэфирной ткани после периода испытания (=15 мин), в г;</w:t>
      </w:r>
    </w:p>
    <w:p w14:paraId="0B1FE94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0</w:t>
      </w:r>
      <w:r>
        <w:rPr>
          <w:color w:val="000000"/>
          <w:sz w:val="24"/>
          <w:szCs w:val="24"/>
        </w:rPr>
        <w:t xml:space="preserve"> – количество воды, введенное в полиэфирную ткань, в г (= 15 г);</w:t>
      </w:r>
    </w:p>
    <w:p w14:paraId="79D12F8B">
      <w:pPr>
        <w:pStyle w:val="96"/>
        <w:spacing w:line="360" w:lineRule="auto"/>
        <w:ind w:left="1134" w:hanging="567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G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– количество воды, переданное через испытуемую пробу за период испытания (=15 мин), в г;</w:t>
      </w:r>
    </w:p>
    <w:p w14:paraId="6A2DBBA1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G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– </w:t>
      </w:r>
      <w:r>
        <w:rPr>
          <w:sz w:val="24"/>
          <w:szCs w:val="24"/>
        </w:rPr>
        <w:t>впитывание</w:t>
      </w:r>
      <w:r>
        <w:rPr>
          <w:color w:val="000000"/>
          <w:sz w:val="24"/>
          <w:szCs w:val="24"/>
        </w:rPr>
        <w:t xml:space="preserve"> пота, в г.</w:t>
      </w:r>
    </w:p>
    <w:p w14:paraId="53949A65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надежного проведения проверок веса непроницаемую фольгу, используемую в процедуре Метода А, заменяют рамкой (5.3) с тонкой фольгой (5.1), приклеенной к ее нижней поверхности. Рамка с тонкой фольгой позволяет переносить испытуемую пробу и полиэфирную ткань (5.2) непосредственно из машины на весы без потери влаги.</w:t>
      </w:r>
    </w:p>
    <w:p w14:paraId="121FC88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Рамку устанавливают на измерительный блок таким образом, чтобы тонкая фольга соприкасалась с пластиной. Сверху на тонкую фольгу укладывают полиэфирную ткань.</w:t>
      </w:r>
    </w:p>
    <w:p w14:paraId="777AD114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6.3.2 Процедура испытания</w:t>
      </w:r>
    </w:p>
    <w:p w14:paraId="3DB3E3A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того, как температура и влажность воздуха внутри климатической камеры стабилизируются на уровне 35 °C и 30 % относительной влажности соответственно, кондиционированную рамку помещают на весы. Весы с рамкой обнуляют.</w:t>
      </w:r>
    </w:p>
    <w:p w14:paraId="3930589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Кондиционированную полиэфирную ткань помещают на рамку и взвешивают (</w:t>
      </w:r>
      <w:r>
        <w:rPr>
          <w:i/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).</w:t>
      </w:r>
    </w:p>
    <w:p w14:paraId="0EC3DFD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Кондиционированную испытуемую пробу кладут поверх полиэфирной ткани и взвешивают (</w:t>
      </w:r>
      <w:r>
        <w:rPr>
          <w:i/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).</w:t>
      </w:r>
    </w:p>
    <w:p w14:paraId="03F728E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Описанный в методе А держатель испытуемой пробы является необязательным для использования в Методе В. Подготовленную испытуемую снимают с весов и помещают на держатель испытуемой пробы.</w:t>
      </w:r>
    </w:p>
    <w:p w14:paraId="7B1C39C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Рамку с полиэфирной тканью размещают на пластине модели кожи таким образом, чтобы тонкая фольга соприкасалась с пластиной.</w:t>
      </w:r>
    </w:p>
    <w:p w14:paraId="04E1E44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 г воды (см. раздел 4) при температуре 35 °C равномерно распределяют по полиэфирной ткани.</w:t>
      </w:r>
    </w:p>
    <w:p w14:paraId="68FE84C7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Сразу после этого держатель испытуемой пробы, выполняющий функцию крышки, с испытуемой пробой на верхней стороне, помещают на рамку. Климатическую камеру закрывают.</w:t>
      </w:r>
    </w:p>
    <w:p w14:paraId="0738A71B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течение 5 минут вода равномерно распределяется по полиэфирной ткани. Климатическую камеру открывают. Держатель испытуемой пробы переворачивают, и испытуемую пробу укладывают на полиэфирную ткань, </w:t>
      </w:r>
      <w:r>
        <w:rPr>
          <w:sz w:val="24"/>
          <w:szCs w:val="24"/>
        </w:rPr>
        <w:t>открыв</w:t>
      </w:r>
      <w:r>
        <w:rPr>
          <w:color w:val="000000"/>
          <w:sz w:val="24"/>
          <w:szCs w:val="24"/>
        </w:rPr>
        <w:t xml:space="preserve"> зажимы. Сразу после этого запускают секундомер и закрывают климатическую камеру.</w:t>
      </w:r>
    </w:p>
    <w:p w14:paraId="236F5E0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Примерно за 20 с до истечения 15 минут климатическую камеру открывают, и по истечении этого времени (определяемого секундомером) рамку с полиэфирной тканью и испытуемой пробой снимают с пластины и помещают на весы. Сборку взвешивают (</w:t>
      </w:r>
      <w:r>
        <w:rPr>
          <w:i/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>).</w:t>
      </w:r>
    </w:p>
    <w:p w14:paraId="621D6B8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Испытуемую пробу снимают с рамкы и взвешивают оставшуюся полиэфирную ткань (</w:t>
      </w:r>
      <w:r>
        <w:rPr>
          <w:i/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4</w:t>
      </w:r>
      <w:r>
        <w:rPr>
          <w:color w:val="000000"/>
          <w:sz w:val="24"/>
          <w:szCs w:val="24"/>
        </w:rPr>
        <w:t>).</w:t>
      </w:r>
    </w:p>
    <w:p w14:paraId="1F4B4918">
      <w:pPr>
        <w:pStyle w:val="96"/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6.3.3 Оценка результатов испытаний</w:t>
      </w:r>
    </w:p>
    <w:p w14:paraId="6A36910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Количество воды, переданное через испытуемую пробу за период испытаний (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>), и впитывания пота (</w:t>
      </w:r>
      <w:r>
        <w:rPr>
          <w:i/>
          <w:color w:val="000000"/>
          <w:sz w:val="24"/>
          <w:szCs w:val="24"/>
        </w:rPr>
        <w:t>G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определяют следующим образом:</w:t>
      </w:r>
    </w:p>
    <w:p w14:paraId="4A67B68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0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= 15 </m:t>
        </m:r>
      </m:oMath>
      <w:r>
        <w:rPr>
          <w:color w:val="000000"/>
          <w:sz w:val="24"/>
          <w:szCs w:val="24"/>
        </w:rPr>
        <w:t>(г),                                                             (10)</w:t>
      </w:r>
    </w:p>
    <w:p w14:paraId="07D331B8">
      <w:pPr>
        <w:pStyle w:val="96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</w:t>
      </w:r>
      <m:oMath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0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+ 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3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</m:t>
        </m:r>
      </m:oMath>
      <w:r>
        <w:rPr>
          <w:color w:val="000000"/>
          <w:sz w:val="24"/>
          <w:szCs w:val="24"/>
        </w:rPr>
        <w:t>(г),                                                     (11)</w:t>
      </w:r>
    </w:p>
    <w:p w14:paraId="394328D0">
      <w:pPr>
        <w:pStyle w:val="96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4"/>
        </w:rPr>
        <w:t xml:space="preserve">                                   </w:t>
      </w:r>
      <m:oMath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G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1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2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+ 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3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>−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SubPr>
          <m:e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m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e>
          <m:sub>
            <m:r>
              <m:rPr/>
              <w:rPr>
                <w:rFonts w:ascii="Cambria Math" w:hAnsi="Cambria Math"/>
                <w:color w:val="000000"/>
                <w:sz w:val="28"/>
                <w:szCs w:val="24"/>
              </w:rPr>
              <m:t>4</m:t>
            </m:r>
            <m:ctrlPr>
              <w:rPr>
                <w:rFonts w:ascii="Cambria Math" w:hAnsi="Cambria Math"/>
                <w:i/>
                <w:color w:val="000000"/>
                <w:sz w:val="28"/>
                <w:szCs w:val="24"/>
              </w:rPr>
            </m:ctrlPr>
          </m:sub>
        </m:sSub>
        <m:r>
          <m:rPr/>
          <w:rPr>
            <w:rFonts w:ascii="Cambria Math" w:hAnsi="Cambria Math"/>
            <w:color w:val="000000"/>
            <w:sz w:val="28"/>
            <w:szCs w:val="24"/>
          </w:rPr>
          <m:t xml:space="preserve"> </m:t>
        </m:r>
      </m:oMath>
      <w:r>
        <w:rPr>
          <w:color w:val="000000"/>
          <w:sz w:val="24"/>
          <w:szCs w:val="24"/>
        </w:rPr>
        <w:t>(г),                                          (12)</w:t>
      </w:r>
    </w:p>
    <w:p w14:paraId="6583E3BB">
      <w:pPr>
        <w:pStyle w:val="96"/>
        <w:spacing w:line="360" w:lineRule="auto"/>
        <w:jc w:val="both"/>
        <w:rPr>
          <w:color w:val="000000"/>
          <w:sz w:val="24"/>
          <w:szCs w:val="24"/>
        </w:rPr>
      </w:pPr>
    </w:p>
    <w:p w14:paraId="4C2701F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где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  <w:sz w:val="24"/>
          <w:szCs w:val="24"/>
        </w:rPr>
        <w:t xml:space="preserve"> – масса полиэфирной ткани до измерения, в г;</w:t>
      </w:r>
    </w:p>
    <w:p w14:paraId="0F82207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– масса полиэфирной ткани и испытуемой пробы до измерения, в г;</w:t>
      </w:r>
    </w:p>
    <w:p w14:paraId="0E244BA0">
      <w:pPr>
        <w:pStyle w:val="96"/>
        <w:spacing w:line="36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3</w:t>
      </w:r>
      <w:r>
        <w:rPr>
          <w:color w:val="000000"/>
          <w:sz w:val="24"/>
          <w:szCs w:val="24"/>
        </w:rPr>
        <w:t xml:space="preserve"> – масса полиэфирной ткани</w:t>
      </w:r>
      <w:r>
        <w:t xml:space="preserve"> </w:t>
      </w:r>
      <w:r>
        <w:rPr>
          <w:color w:val="000000"/>
          <w:sz w:val="24"/>
          <w:szCs w:val="24"/>
        </w:rPr>
        <w:t>и испытуемой пробы после периода испытания, в г;</w:t>
      </w:r>
    </w:p>
    <w:p w14:paraId="2175FD29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  <w:vertAlign w:val="subscript"/>
        </w:rPr>
        <w:t>4</w:t>
      </w:r>
      <w:r>
        <w:rPr>
          <w:color w:val="000000"/>
          <w:sz w:val="24"/>
          <w:szCs w:val="24"/>
        </w:rPr>
        <w:t xml:space="preserve"> – масса полиэфирной ткани после периода испытания, в г.</w:t>
      </w:r>
    </w:p>
    <w:p w14:paraId="031E1C8E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bCs/>
          <w:sz w:val="24"/>
          <w:szCs w:val="28"/>
        </w:rPr>
        <w:t>Влагопроницаемость</w:t>
      </w:r>
      <w:r>
        <w:rPr>
          <w:b/>
          <w:bCs/>
          <w:sz w:val="24"/>
          <w:szCs w:val="28"/>
        </w:rPr>
        <w:t xml:space="preserve"> </w:t>
      </w:r>
      <w:r>
        <w:rPr>
          <w:bCs/>
          <w:i/>
          <w:sz w:val="24"/>
          <w:szCs w:val="28"/>
          <w:lang w:val="en-US"/>
        </w:rPr>
        <w:t>F</w:t>
      </w:r>
      <w:r>
        <w:rPr>
          <w:bCs/>
          <w:sz w:val="24"/>
          <w:szCs w:val="28"/>
          <w:vertAlign w:val="subscript"/>
        </w:rPr>
        <w:t>1</w:t>
      </w:r>
      <w:r>
        <w:rPr>
          <w:color w:val="000000"/>
          <w:sz w:val="24"/>
          <w:szCs w:val="24"/>
        </w:rPr>
        <w:t xml:space="preserve">, передачу пота </w:t>
      </w:r>
      <w:r>
        <w:rPr>
          <w:i/>
          <w:color w:val="000000"/>
          <w:sz w:val="24"/>
          <w:szCs w:val="24"/>
          <w:lang w:val="en-US"/>
        </w:rPr>
        <w:t>F</w:t>
      </w:r>
      <w:r>
        <w:rPr>
          <w:color w:val="000000"/>
          <w:sz w:val="24"/>
          <w:szCs w:val="24"/>
        </w:rPr>
        <w:t xml:space="preserve"> и индекс накопления </w:t>
      </w:r>
      <w:r>
        <w:rPr>
          <w:i/>
          <w:color w:val="000000"/>
          <w:sz w:val="24"/>
          <w:szCs w:val="24"/>
          <w:lang w:val="en-US"/>
        </w:rPr>
        <w:t>K</w:t>
      </w:r>
      <w:r>
        <w:rPr>
          <w:color w:val="000000"/>
          <w:sz w:val="24"/>
          <w:szCs w:val="24"/>
          <w:vertAlign w:val="subscript"/>
          <w:lang w:val="en-US"/>
        </w:rPr>
        <w:t>f</w:t>
      </w:r>
      <w:r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>определяют, как в методе А.</w:t>
      </w:r>
    </w:p>
    <w:p w14:paraId="5CA26D3D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2C31123C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4B053D4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34647ED3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7EF58FC8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03B95C6A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6E5E9BE0">
      <w:pPr>
        <w:pStyle w:val="96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56422AE8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4"/>
        </w:rPr>
        <w:t>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br w:type="page"/>
      </w:r>
    </w:p>
    <w:p w14:paraId="0CB60182">
      <w:pPr>
        <w:pStyle w:val="96"/>
        <w:spacing w:line="360" w:lineRule="auto"/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>Приложение А</w:t>
      </w:r>
    </w:p>
    <w:p w14:paraId="3D648B7A">
      <w:pPr>
        <w:pStyle w:val="96"/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(справочное)</w:t>
      </w:r>
    </w:p>
    <w:p w14:paraId="08DA530A">
      <w:pPr>
        <w:pStyle w:val="96"/>
        <w:spacing w:line="360" w:lineRule="auto"/>
        <w:jc w:val="center"/>
        <w:rPr>
          <w:b/>
          <w:color w:val="000000"/>
        </w:rPr>
      </w:pPr>
      <w:r>
        <w:rPr>
          <w:b/>
          <w:color w:val="000000"/>
          <w:sz w:val="24"/>
          <w:szCs w:val="24"/>
        </w:rPr>
        <w:t>Держатель испытуемой пробы</w:t>
      </w:r>
    </w:p>
    <w:p w14:paraId="7102172E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361613E4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251450" cy="35058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145" cy="351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1694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А.1 — Голая пластина до проведения испытания</w:t>
      </w:r>
    </w:p>
    <w:p w14:paraId="2279AE49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</w:p>
    <w:p w14:paraId="3E3E6680">
      <w:pPr>
        <w:suppressAutoHyphens w:val="0"/>
        <w:spacing w:after="0" w:line="360" w:lineRule="auto"/>
        <w:ind w:firstLine="142"/>
        <w:jc w:val="center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208905" cy="2877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5978" cy="288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46B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А.2 — Рамка с тонкой фольгой (метод В)</w:t>
      </w:r>
    </w:p>
    <w:p w14:paraId="5DEF8EFF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0AF7C592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75125192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768EF0FA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250180" cy="27673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202" cy="27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06F4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А.3 — Полиэфирная ткань на рамке с тонкой фольгой (метод В)</w:t>
      </w:r>
    </w:p>
    <w:p w14:paraId="7DEB525E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</w:p>
    <w:p w14:paraId="5E9097EF">
      <w:pPr>
        <w:suppressAutoHyphens w:val="0"/>
        <w:spacing w:after="0" w:line="360" w:lineRule="auto"/>
        <w:ind w:firstLine="426"/>
        <w:jc w:val="center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401310" cy="27508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5512" cy="27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EF1F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А.4 — Смоченная полиэфирная ткань 15 г воды</w:t>
      </w:r>
    </w:p>
    <w:p w14:paraId="37BD2C86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14A3D91F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638800" cy="373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3A81">
      <w:pPr>
        <w:suppressAutoHyphens w:val="0"/>
        <w:spacing w:after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А.5 — Держатель испытуемой пробы с испытуемой пробой, расположенной на верхней стороне и выполняющей функцию крышки для покрытия полиэфирной ткани</w:t>
      </w:r>
    </w:p>
    <w:p w14:paraId="1AE865BA">
      <w:pPr>
        <w:suppressAutoHyphens w:val="0"/>
        <w:spacing w:after="0" w:line="360" w:lineRule="auto"/>
        <w:jc w:val="center"/>
        <w:rPr>
          <w:rFonts w:ascii="Arial" w:hAnsi="Arial" w:cs="Arial"/>
          <w:color w:val="000000"/>
        </w:rPr>
      </w:pPr>
    </w:p>
    <w:p w14:paraId="7104984C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 минут дают воде равномерно распределиться по полиэфирной ткани.</w:t>
      </w:r>
    </w:p>
    <w:p w14:paraId="2D1ABA4D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5DA9EAFC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4956810" cy="33642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4689" cy="336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21CD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А.6 — Держатель испытуемой пробы в перевернутом положении</w:t>
      </w:r>
    </w:p>
    <w:p w14:paraId="627D64A9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189220" cy="33877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6925" cy="33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CF50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А.7 — Испытуемая проба, уложенная на полиэфирную ткань путем открывания зажимов</w:t>
      </w:r>
    </w:p>
    <w:p w14:paraId="3355D821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</w:p>
    <w:p w14:paraId="700ADB83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lang w:eastAsia="ru-RU"/>
        </w:rPr>
        <w:drawing>
          <wp:inline distT="0" distB="0" distL="0" distR="0">
            <wp:extent cx="5375275" cy="3629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292" cy="3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B383">
      <w:pPr>
        <w:suppressAutoHyphens w:val="0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Рисунок А.8 — Держатель испытуемой пробы снят. Испытуемая проба остается на     15 мин на полиэфирной ткани</w:t>
      </w:r>
    </w:p>
    <w:p w14:paraId="5F89CCB9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3588E4F5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10CBC73B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41BF9D2A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14:paraId="4621DAEF">
      <w:pPr>
        <w:pStyle w:val="96"/>
        <w:spacing w:line="360" w:lineRule="auto"/>
        <w:jc w:val="center"/>
        <w:rPr>
          <w:color w:val="000000"/>
        </w:rPr>
      </w:pPr>
      <w:r>
        <w:rPr>
          <w:b/>
          <w:color w:val="000000"/>
          <w:sz w:val="24"/>
          <w:szCs w:val="24"/>
        </w:rPr>
        <w:t>Приложение ДА</w:t>
      </w:r>
    </w:p>
    <w:p w14:paraId="1BD8E642">
      <w:pPr>
        <w:pStyle w:val="96"/>
        <w:spacing w:line="360" w:lineRule="auto"/>
        <w:jc w:val="center"/>
        <w:rPr>
          <w:b/>
          <w:color w:val="000000"/>
        </w:rPr>
      </w:pPr>
      <w:r>
        <w:rPr>
          <w:b/>
          <w:color w:val="000000"/>
          <w:sz w:val="24"/>
          <w:szCs w:val="24"/>
        </w:rPr>
        <w:t>(справочное)</w:t>
      </w:r>
    </w:p>
    <w:p w14:paraId="660E425A">
      <w:pPr>
        <w:pStyle w:val="97"/>
        <w:spacing w:line="360" w:lineRule="auto"/>
        <w:jc w:val="center"/>
        <w:rPr>
          <w:color w:val="000000"/>
        </w:rPr>
      </w:pPr>
      <w:r>
        <w:rPr>
          <w:b/>
          <w:bCs/>
          <w:color w:val="000000"/>
          <w:sz w:val="24"/>
          <w:szCs w:val="24"/>
        </w:rPr>
        <w:t>Сведения о соответствии ссылочных европейских стандартов ссылочным межгосударственным стандартам</w:t>
      </w:r>
    </w:p>
    <w:p w14:paraId="4C1474F3">
      <w:pPr>
        <w:pStyle w:val="97"/>
        <w:jc w:val="center"/>
        <w:rPr>
          <w:b/>
          <w:bCs/>
          <w:color w:val="000000"/>
          <w:sz w:val="22"/>
          <w:szCs w:val="22"/>
        </w:rPr>
      </w:pPr>
    </w:p>
    <w:p w14:paraId="47D76A97">
      <w:pPr>
        <w:pStyle w:val="96"/>
        <w:spacing w:line="480" w:lineRule="auto"/>
        <w:jc w:val="both"/>
        <w:rPr>
          <w:color w:val="000000"/>
        </w:rPr>
      </w:pPr>
      <w:r>
        <w:rPr>
          <w:color w:val="000000"/>
          <w:spacing w:val="40"/>
          <w:sz w:val="22"/>
          <w:szCs w:val="22"/>
        </w:rPr>
        <w:t>Таблица</w:t>
      </w:r>
      <w:r>
        <w:rPr>
          <w:color w:val="000000"/>
          <w:sz w:val="22"/>
          <w:szCs w:val="22"/>
        </w:rPr>
        <w:t xml:space="preserve"> ДА.1</w:t>
      </w:r>
    </w:p>
    <w:tbl>
      <w:tblPr>
        <w:tblStyle w:val="5"/>
        <w:tblW w:w="0" w:type="auto"/>
        <w:tblInd w:w="-270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2566"/>
        <w:gridCol w:w="1418"/>
        <w:gridCol w:w="5969"/>
      </w:tblGrid>
      <w:tr w14:paraId="0203420A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rPr>
          <w:trHeight w:val="310" w:hRule="atLeast"/>
        </w:trPr>
        <w:tc>
          <w:tcPr>
            <w:tcW w:w="2566" w:type="dxa"/>
            <w:tcBorders>
              <w:top w:val="single" w:color="000000" w:sz="6" w:space="0"/>
              <w:left w:val="single" w:color="000000" w:sz="6" w:space="0"/>
              <w:bottom w:val="double" w:color="000000" w:sz="4" w:space="0"/>
            </w:tcBorders>
            <w:shd w:val="clear" w:color="auto" w:fill="auto"/>
          </w:tcPr>
          <w:p w14:paraId="7F42D8DD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Обозначение соответствующего международного и европейского стандарта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double" w:color="000000" w:sz="4" w:space="0"/>
            </w:tcBorders>
            <w:shd w:val="clear" w:color="auto" w:fill="auto"/>
          </w:tcPr>
          <w:p w14:paraId="42868075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Степень соответствия</w:t>
            </w:r>
          </w:p>
        </w:tc>
        <w:tc>
          <w:tcPr>
            <w:tcW w:w="5969" w:type="dxa"/>
            <w:tcBorders>
              <w:top w:val="single" w:color="000000" w:sz="6" w:space="0"/>
              <w:left w:val="single" w:color="000000" w:sz="6" w:space="0"/>
              <w:bottom w:val="double" w:color="000000" w:sz="4" w:space="0"/>
              <w:right w:val="single" w:color="000000" w:sz="6" w:space="0"/>
            </w:tcBorders>
            <w:shd w:val="clear" w:color="auto" w:fill="auto"/>
          </w:tcPr>
          <w:p w14:paraId="3CFAF12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Обозначение и наименование соответствующего межгосударственного стандарта</w:t>
            </w:r>
          </w:p>
        </w:tc>
      </w:tr>
      <w:tr w14:paraId="5E0777DF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rPr>
          <w:trHeight w:val="254" w:hRule="atLeast"/>
        </w:trPr>
        <w:tc>
          <w:tcPr>
            <w:tcW w:w="25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auto"/>
          </w:tcPr>
          <w:p w14:paraId="542DC39F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 ISO 3696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auto"/>
          </w:tcPr>
          <w:p w14:paraId="7AB681E6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5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6A25E4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ISO 3696-2013 «Вода для лабораторного анализа. Технические требования и методы контроля»</w:t>
            </w:r>
          </w:p>
        </w:tc>
      </w:tr>
      <w:tr w14:paraId="0D6D7C0E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rPr>
          <w:trHeight w:val="254" w:hRule="atLeast"/>
        </w:trPr>
        <w:tc>
          <w:tcPr>
            <w:tcW w:w="25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auto"/>
          </w:tcPr>
          <w:p w14:paraId="20703DDC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 ISO 11092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auto"/>
          </w:tcPr>
          <w:p w14:paraId="0D01D3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IDT</w:t>
            </w:r>
          </w:p>
        </w:tc>
        <w:tc>
          <w:tcPr>
            <w:tcW w:w="5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A21600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ISO 11092-2021 Материалы и изделия текстильные. Физиологическое воздействие. Определение теплового сопротивления и сопротивления проникновению пара в стационарных условиях (метод испытания с использованием греющей пластины с имитацией потоотделения и горячей охранной зоной)</w:t>
            </w:r>
          </w:p>
        </w:tc>
      </w:tr>
      <w:tr w14:paraId="02D838F5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rPr>
          <w:trHeight w:val="254" w:hRule="atLeast"/>
        </w:trPr>
        <w:tc>
          <w:tcPr>
            <w:tcW w:w="995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9C8EE48">
            <w:pPr>
              <w:spacing w:after="0" w:line="240" w:lineRule="auto"/>
              <w:ind w:firstLine="547"/>
              <w:jc w:val="both"/>
              <w:rPr>
                <w:rFonts w:ascii="Arial" w:hAnsi="Arial" w:cs="Arial"/>
                <w:sz w:val="18"/>
                <w:lang w:eastAsia="ru-RU"/>
              </w:rPr>
            </w:pPr>
            <w:r>
              <w:rPr>
                <w:rFonts w:ascii="Arial" w:hAnsi="Arial" w:cs="Arial"/>
                <w:spacing w:val="40"/>
                <w:sz w:val="18"/>
                <w:lang w:eastAsia="ru-RU"/>
              </w:rPr>
              <w:t>Примечание</w:t>
            </w:r>
            <w:r>
              <w:rPr>
                <w:rFonts w:ascii="Arial" w:hAnsi="Arial" w:cs="Arial"/>
                <w:sz w:val="18"/>
                <w:lang w:eastAsia="ru-RU"/>
              </w:rPr>
              <w:t xml:space="preserve"> – В настоящей таблице использовано следующее условное обозначение степени соответствия стандартов: </w:t>
            </w:r>
          </w:p>
          <w:p w14:paraId="37ACFF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lang w:eastAsia="ru-RU"/>
              </w:rPr>
              <w:t>- IDT – идентичные стандарты.</w:t>
            </w:r>
          </w:p>
        </w:tc>
      </w:tr>
    </w:tbl>
    <w:p w14:paraId="50EB9718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775F4649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F4E7EBA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87B61E3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0FE0727C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767EB87E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64A62CE4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E8F9306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432DA2B7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145DD0F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BDD70DA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1FA421A6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0CE3D948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A4DEBF8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3E54079D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45FB0FB6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6B0A0F79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36EC5674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B619D35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46989F7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EE07A27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6F66F53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55D141C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BA74976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3229E618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60A28DE5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09D1584B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657E612F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2BDBE8E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03E14020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2572BCD3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63C20070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79572A2C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14BE745D">
      <w:pPr>
        <w:pStyle w:val="97"/>
        <w:spacing w:line="360" w:lineRule="auto"/>
        <w:jc w:val="center"/>
        <w:rPr>
          <w:b/>
          <w:bCs/>
          <w:color w:val="auto"/>
          <w:sz w:val="28"/>
          <w:szCs w:val="24"/>
        </w:rPr>
      </w:pPr>
      <w:r>
        <w:rPr>
          <w:b/>
          <w:bCs/>
          <w:color w:val="auto"/>
          <w:sz w:val="28"/>
          <w:szCs w:val="24"/>
        </w:rPr>
        <w:t>Библиография</w:t>
      </w:r>
    </w:p>
    <w:tbl>
      <w:tblPr>
        <w:tblStyle w:val="5"/>
        <w:tblW w:w="9072" w:type="dxa"/>
        <w:tblInd w:w="28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2126"/>
        <w:gridCol w:w="6946"/>
      </w:tblGrid>
      <w:tr w14:paraId="76A2372B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c>
          <w:tcPr>
            <w:tcW w:w="2126" w:type="dxa"/>
          </w:tcPr>
          <w:p w14:paraId="5CA3FEA9">
            <w:pPr>
              <w:widowControl w:val="0"/>
              <w:spacing w:after="0" w:line="240" w:lineRule="auto"/>
              <w:ind w:right="256"/>
              <w:jc w:val="both"/>
              <w:rPr>
                <w:rFonts w:ascii="Arial" w:hAnsi="Arial" w:cs="Arial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sz w:val="24"/>
                <w:szCs w:val="20"/>
                <w:lang w:val="en-US" w:eastAsia="ru-RU"/>
              </w:rPr>
              <w:t xml:space="preserve">ISO </w:t>
            </w:r>
            <w:r>
              <w:rPr>
                <w:rFonts w:ascii="Arial" w:hAnsi="Arial" w:cs="Arial"/>
                <w:sz w:val="24"/>
                <w:szCs w:val="20"/>
                <w:lang w:eastAsia="ru-RU"/>
              </w:rPr>
              <w:t>17617-2024</w:t>
            </w:r>
          </w:p>
        </w:tc>
        <w:tc>
          <w:tcPr>
            <w:tcW w:w="6946" w:type="dxa"/>
          </w:tcPr>
          <w:p w14:paraId="1A6D855E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sz w:val="24"/>
                <w:szCs w:val="20"/>
                <w:lang w:eastAsia="ru-RU"/>
              </w:rPr>
              <w:t>Материалы текстильные. Определение скорости высушивания</w:t>
            </w:r>
          </w:p>
        </w:tc>
      </w:tr>
    </w:tbl>
    <w:p w14:paraId="20C62BFF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3A671BA7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04935735">
      <w:pPr>
        <w:suppressAutoHyphens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</w:rPr>
      </w:pPr>
    </w:p>
    <w:p w14:paraId="5DAEAD9F">
      <w:pPr>
        <w:suppressAutoHyphens w:val="0"/>
        <w:spacing w:after="0" w:line="240" w:lineRule="auto"/>
        <w:rPr>
          <w:rFonts w:ascii="Arial" w:hAnsi="Arial" w:cs="Arial"/>
          <w:bCs/>
          <w:color w:val="000000"/>
          <w:kern w:val="0"/>
          <w:sz w:val="20"/>
        </w:rPr>
      </w:pPr>
      <w:r>
        <w:rPr>
          <w:rFonts w:ascii="Arial" w:hAnsi="Arial" w:cs="Arial"/>
          <w:bCs/>
          <w:color w:val="000000"/>
          <w:kern w:val="0"/>
          <w:sz w:val="20"/>
        </w:rPr>
        <w:br w:type="page"/>
      </w:r>
    </w:p>
    <w:tbl>
      <w:tblPr>
        <w:tblStyle w:val="5"/>
        <w:tblW w:w="0" w:type="auto"/>
        <w:tblInd w:w="28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</w:tblPr>
      <w:tblGrid>
        <w:gridCol w:w="4110"/>
        <w:gridCol w:w="2445"/>
        <w:gridCol w:w="3084"/>
      </w:tblGrid>
      <w:tr w14:paraId="79DD8D95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c>
          <w:tcPr>
            <w:tcW w:w="4110" w:type="dxa"/>
            <w:tcBorders>
              <w:top w:val="single" w:color="000000" w:sz="4" w:space="0"/>
            </w:tcBorders>
            <w:shd w:val="clear" w:color="auto" w:fill="auto"/>
          </w:tcPr>
          <w:p w14:paraId="7CB2DB36">
            <w:pPr>
              <w:pStyle w:val="96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УДК 677.016:413.6:006.354</w:t>
            </w:r>
          </w:p>
        </w:tc>
        <w:tc>
          <w:tcPr>
            <w:tcW w:w="2445" w:type="dxa"/>
            <w:tcBorders>
              <w:top w:val="single" w:color="000000" w:sz="4" w:space="0"/>
            </w:tcBorders>
            <w:shd w:val="clear" w:color="auto" w:fill="auto"/>
          </w:tcPr>
          <w:p w14:paraId="7490B49A">
            <w:pPr>
              <w:pStyle w:val="96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МКС 59.080.30</w:t>
            </w:r>
          </w:p>
        </w:tc>
        <w:tc>
          <w:tcPr>
            <w:tcW w:w="3084" w:type="dxa"/>
            <w:tcBorders>
              <w:top w:val="single" w:color="000000" w:sz="4" w:space="0"/>
            </w:tcBorders>
            <w:shd w:val="clear" w:color="auto" w:fill="auto"/>
          </w:tcPr>
          <w:p w14:paraId="6E6D803D">
            <w:pPr>
              <w:pStyle w:val="96"/>
              <w:jc w:val="right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IDT</w:t>
            </w:r>
          </w:p>
        </w:tc>
      </w:tr>
      <w:tr w14:paraId="383B258A">
        <w:tblPrEx>
          <w:tblCellMar>
            <w:top w:w="114" w:type="dxa"/>
            <w:left w:w="28" w:type="dxa"/>
            <w:bottom w:w="114" w:type="dxa"/>
            <w:right w:w="28" w:type="dxa"/>
          </w:tblCellMar>
        </w:tblPrEx>
        <w:tc>
          <w:tcPr>
            <w:tcW w:w="9639" w:type="dxa"/>
            <w:gridSpan w:val="3"/>
            <w:tcBorders>
              <w:bottom w:val="single" w:color="000000" w:sz="6" w:space="0"/>
            </w:tcBorders>
            <w:shd w:val="clear" w:color="auto" w:fill="auto"/>
          </w:tcPr>
          <w:p w14:paraId="438D7CD9">
            <w:pPr>
              <w:pStyle w:val="96"/>
              <w:ind w:firstLine="56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Ключевые слова: текстильный материал, текстильное изделие, </w:t>
            </w:r>
            <w:r>
              <w:rPr>
                <w:sz w:val="24"/>
                <w:szCs w:val="24"/>
              </w:rPr>
              <w:t>передача пота, регулирование пота, впитывание пота, индекс накопления, влагопроницаемость</w:t>
            </w:r>
          </w:p>
          <w:p w14:paraId="25FB6414">
            <w:pPr>
              <w:pStyle w:val="96"/>
              <w:ind w:firstLine="568"/>
              <w:jc w:val="both"/>
              <w:rPr>
                <w:color w:val="000000"/>
              </w:rPr>
            </w:pPr>
          </w:p>
        </w:tc>
      </w:tr>
    </w:tbl>
    <w:p w14:paraId="54462573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1029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2978"/>
        <w:gridCol w:w="2520"/>
        <w:gridCol w:w="7"/>
      </w:tblGrid>
      <w:tr w14:paraId="24776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4786" w:type="dxa"/>
            <w:shd w:val="clear" w:color="auto" w:fill="auto"/>
          </w:tcPr>
          <w:p w14:paraId="4DB37E8F">
            <w:pPr>
              <w:suppressAutoHyphens w:val="0"/>
              <w:spacing w:after="0" w:line="240" w:lineRule="auto"/>
              <w:rPr>
                <w:rFonts w:ascii="Arial" w:hAnsi="Arial" w:cs="Arial"/>
                <w:bCs/>
                <w:color w:val="000000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14:paraId="7A0B246A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color w:val="000000"/>
                <w:lang w:eastAsia="en-US"/>
              </w:rPr>
            </w:pPr>
          </w:p>
        </w:tc>
        <w:tc>
          <w:tcPr>
            <w:tcW w:w="2520" w:type="dxa"/>
            <w:shd w:val="clear" w:color="auto" w:fill="auto"/>
          </w:tcPr>
          <w:p w14:paraId="1880E900">
            <w:pPr>
              <w:snapToGrid w:val="0"/>
              <w:spacing w:before="400" w:after="240"/>
              <w:rPr>
                <w:rFonts w:ascii="Arial" w:hAnsi="Arial" w:cs="Arial"/>
                <w:bCs/>
                <w:color w:val="000000"/>
                <w:lang w:eastAsia="en-US"/>
              </w:rPr>
            </w:pPr>
          </w:p>
        </w:tc>
      </w:tr>
      <w:tr w14:paraId="6988D2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784" w:hRule="atLeast"/>
        </w:trPr>
        <w:tc>
          <w:tcPr>
            <w:tcW w:w="4786" w:type="dxa"/>
            <w:shd w:val="clear" w:color="auto" w:fill="auto"/>
          </w:tcPr>
          <w:p w14:paraId="409F9821">
            <w:pPr>
              <w:spacing w:after="0" w:line="240" w:lineRule="auto"/>
            </w:pPr>
          </w:p>
        </w:tc>
        <w:tc>
          <w:tcPr>
            <w:tcW w:w="2978" w:type="dxa"/>
            <w:shd w:val="clear" w:color="auto" w:fill="auto"/>
          </w:tcPr>
          <w:p w14:paraId="459BF691">
            <w:pPr>
              <w:snapToGrid w:val="0"/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0B4EE495">
            <w:pPr>
              <w:spacing w:after="0" w:line="24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19" w:type="dxa"/>
            <w:shd w:val="clear" w:color="auto" w:fill="auto"/>
          </w:tcPr>
          <w:p w14:paraId="6CA3DBAD">
            <w:pPr>
              <w:snapToGrid w:val="0"/>
              <w:spacing w:after="0" w:line="240" w:lineRule="auto"/>
              <w:rPr>
                <w:rFonts w:ascii="Arial" w:hAnsi="Arial" w:cs="Arial"/>
                <w:bCs/>
                <w:lang w:eastAsia="en-US"/>
              </w:rPr>
            </w:pPr>
          </w:p>
          <w:p w14:paraId="652F7AD9">
            <w:pPr>
              <w:spacing w:after="0" w:line="240" w:lineRule="auto"/>
            </w:pPr>
          </w:p>
        </w:tc>
      </w:tr>
      <w:tr w14:paraId="1A591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4101CDB4">
            <w:pPr>
              <w:spacing w:after="0" w:line="240" w:lineRule="auto"/>
            </w:pPr>
            <w:r>
              <w:rPr>
                <w:rFonts w:ascii="Arial" w:hAnsi="Arial" w:cs="Arial"/>
                <w:bCs/>
                <w:lang w:eastAsia="en-US"/>
              </w:rPr>
              <w:t xml:space="preserve">Генеральный директор </w:t>
            </w:r>
          </w:p>
          <w:p w14:paraId="7D3D367F">
            <w:pPr>
              <w:spacing w:after="0" w:line="240" w:lineRule="auto"/>
            </w:pPr>
            <w:r>
              <w:rPr>
                <w:rFonts w:ascii="Arial" w:hAnsi="Arial" w:cs="Arial"/>
                <w:bCs/>
                <w:lang w:eastAsia="en-US"/>
              </w:rPr>
              <w:t>ПВ ООО «Фирма «Техноавиа»</w:t>
            </w:r>
          </w:p>
        </w:tc>
        <w:tc>
          <w:tcPr>
            <w:tcW w:w="2978" w:type="dxa"/>
          </w:tcPr>
          <w:p w14:paraId="3060AA9C">
            <w:pPr>
              <w:snapToGrid w:val="0"/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077E01E9">
            <w:pPr>
              <w:spacing w:after="0" w:line="24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2"/>
          </w:tcPr>
          <w:p w14:paraId="081BF5F4">
            <w:pPr>
              <w:snapToGrid w:val="0"/>
              <w:spacing w:after="0" w:line="240" w:lineRule="auto"/>
              <w:rPr>
                <w:rFonts w:ascii="Arial" w:hAnsi="Arial" w:cs="Arial"/>
                <w:bCs/>
                <w:lang w:eastAsia="en-US"/>
              </w:rPr>
            </w:pPr>
          </w:p>
          <w:p w14:paraId="33B74EDC">
            <w:pPr>
              <w:spacing w:after="0" w:line="240" w:lineRule="auto"/>
            </w:pPr>
            <w:r>
              <w:rPr>
                <w:rFonts w:ascii="Arial" w:hAnsi="Arial" w:cs="Arial"/>
                <w:bCs/>
                <w:lang w:eastAsia="en-US"/>
              </w:rPr>
              <w:t>А.С. Попов</w:t>
            </w:r>
          </w:p>
        </w:tc>
      </w:tr>
      <w:tr w14:paraId="311AF3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786" w:type="dxa"/>
          </w:tcPr>
          <w:p w14:paraId="65E4BD36">
            <w:pPr>
              <w:snapToGrid w:val="0"/>
              <w:spacing w:after="240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978" w:type="dxa"/>
          </w:tcPr>
          <w:p w14:paraId="133BBF8C">
            <w:pPr>
              <w:snapToGrid w:val="0"/>
              <w:spacing w:after="240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2"/>
          </w:tcPr>
          <w:p w14:paraId="76302C28">
            <w:pPr>
              <w:snapToGrid w:val="0"/>
              <w:spacing w:after="240"/>
              <w:rPr>
                <w:rFonts w:ascii="Arial" w:hAnsi="Arial" w:cs="Arial"/>
                <w:bCs/>
                <w:lang w:eastAsia="en-US"/>
              </w:rPr>
            </w:pPr>
          </w:p>
        </w:tc>
      </w:tr>
      <w:tr w14:paraId="50BF9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7200BC40">
            <w:pPr>
              <w:spacing w:after="0"/>
            </w:pPr>
            <w:r>
              <w:rPr>
                <w:rFonts w:ascii="Arial" w:hAnsi="Arial" w:cs="Arial"/>
                <w:bCs/>
                <w:lang w:eastAsia="en-US"/>
              </w:rPr>
              <w:t>Руководитель направления стандартизации и испытаний, к.т.н.</w:t>
            </w:r>
          </w:p>
        </w:tc>
        <w:tc>
          <w:tcPr>
            <w:tcW w:w="2978" w:type="dxa"/>
          </w:tcPr>
          <w:p w14:paraId="2142EADF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2"/>
          </w:tcPr>
          <w:p w14:paraId="1F393E29">
            <w:pPr>
              <w:snapToGrid w:val="0"/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721279DE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Н.В. Колесников</w:t>
            </w:r>
          </w:p>
          <w:p w14:paraId="49DA24B8">
            <w:pPr>
              <w:spacing w:after="0"/>
            </w:pPr>
          </w:p>
        </w:tc>
      </w:tr>
      <w:tr w14:paraId="400E4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</w:tcPr>
          <w:p w14:paraId="60FA25BD">
            <w:pPr>
              <w:spacing w:after="240"/>
              <w:rPr>
                <w:rFonts w:ascii="Arial" w:hAnsi="Arial" w:cs="Arial"/>
                <w:bCs/>
                <w:lang w:eastAsia="en-US"/>
              </w:rPr>
            </w:pPr>
          </w:p>
          <w:p w14:paraId="7786BD91">
            <w:pPr>
              <w:spacing w:after="240"/>
            </w:pPr>
            <w:r>
              <w:rPr>
                <w:rFonts w:ascii="Arial" w:hAnsi="Arial" w:cs="Arial"/>
                <w:bCs/>
                <w:lang w:eastAsia="en-US"/>
              </w:rPr>
              <w:t xml:space="preserve">Старший инженер отдела стандартизации </w:t>
            </w:r>
          </w:p>
        </w:tc>
        <w:tc>
          <w:tcPr>
            <w:tcW w:w="2978" w:type="dxa"/>
          </w:tcPr>
          <w:p w14:paraId="072351D3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2"/>
          </w:tcPr>
          <w:p w14:paraId="7106BFBA">
            <w:pPr>
              <w:snapToGrid w:val="0"/>
              <w:spacing w:after="240"/>
              <w:rPr>
                <w:rFonts w:ascii="Arial" w:hAnsi="Arial" w:cs="Arial"/>
                <w:bCs/>
                <w:lang w:eastAsia="en-US"/>
              </w:rPr>
            </w:pPr>
          </w:p>
          <w:p w14:paraId="2AF625A1">
            <w:pPr>
              <w:spacing w:after="240"/>
            </w:pPr>
            <w:r>
              <w:rPr>
                <w:rFonts w:ascii="Arial" w:hAnsi="Arial" w:cs="Arial"/>
                <w:bCs/>
                <w:lang w:eastAsia="en-US"/>
              </w:rPr>
              <w:t>М.А. Перова</w:t>
            </w:r>
          </w:p>
        </w:tc>
      </w:tr>
    </w:tbl>
    <w:p w14:paraId="7000B4A0">
      <w:pPr>
        <w:spacing w:before="100" w:after="240"/>
        <w:rPr>
          <w:rFonts w:ascii="Times New Roman" w:hAnsi="Times New Roman" w:cs="Times New Roman"/>
          <w:color w:val="000000"/>
          <w:sz w:val="24"/>
          <w:szCs w:val="24"/>
        </w:rPr>
      </w:pPr>
    </w:p>
    <w:p w14:paraId="661E435A">
      <w:pPr>
        <w:widowControl w:val="0"/>
        <w:spacing w:after="0"/>
        <w:rPr>
          <w:color w:val="000000"/>
        </w:rPr>
      </w:pPr>
    </w:p>
    <w:sectPr>
      <w:headerReference r:id="rId12" w:type="first"/>
      <w:footerReference r:id="rId15" w:type="first"/>
      <w:headerReference r:id="rId10" w:type="default"/>
      <w:footerReference r:id="rId13" w:type="default"/>
      <w:headerReference r:id="rId11" w:type="even"/>
      <w:footerReference r:id="rId14" w:type="even"/>
      <w:type w:val="continuous"/>
      <w:pgSz w:w="11906" w:h="16838"/>
      <w:pgMar w:top="1099" w:right="851" w:bottom="1134" w:left="1418" w:header="278" w:footer="278" w:gutter="0"/>
      <w:pgNumType w:start="1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angal">
    <w:altName w:val="Liberation Mono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2BD46">
    <w:pPr>
      <w:pStyle w:val="21"/>
      <w:jc w:val="right"/>
    </w:pPr>
    <w:r>
      <w:rPr>
        <w:rStyle w:val="48"/>
      </w:rPr>
      <w:fldChar w:fldCharType="begin"/>
    </w:r>
    <w:r>
      <w:rPr>
        <w:rStyle w:val="48"/>
      </w:rPr>
      <w:instrText xml:space="preserve"> PAGE </w:instrText>
    </w:r>
    <w:r>
      <w:rPr>
        <w:rStyle w:val="48"/>
      </w:rPr>
      <w:fldChar w:fldCharType="separate"/>
    </w:r>
    <w:r>
      <w:rPr>
        <w:rStyle w:val="48"/>
      </w:rPr>
      <w:t>v</w:t>
    </w:r>
    <w:r>
      <w:rPr>
        <w:rStyle w:val="4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1032A">
    <w:pPr>
      <w:pStyle w:val="21"/>
      <w:jc w:val="left"/>
    </w:pPr>
    <w:r>
      <w:rPr>
        <w:rStyle w:val="48"/>
      </w:rPr>
      <w:fldChar w:fldCharType="begin"/>
    </w:r>
    <w:r>
      <w:rPr>
        <w:rStyle w:val="48"/>
      </w:rPr>
      <w:instrText xml:space="preserve"> PAGE </w:instrText>
    </w:r>
    <w:r>
      <w:rPr>
        <w:rStyle w:val="48"/>
      </w:rPr>
      <w:fldChar w:fldCharType="separate"/>
    </w:r>
    <w:r>
      <w:rPr>
        <w:rStyle w:val="48"/>
      </w:rPr>
      <w:t>iv</w:t>
    </w:r>
    <w:r>
      <w:rPr>
        <w:rStyle w:val="4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8AB80">
    <w:pPr>
      <w:pStyle w:val="21"/>
      <w:jc w:val="right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PAGE   \* MERGEFORMAT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</w:rPr>
      <w:t>19</w:t>
    </w:r>
    <w:r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193CD">
    <w:pPr>
      <w:pStyle w:val="21"/>
      <w:rPr>
        <w:rFonts w:ascii="Arial" w:hAnsi="Arial" w:cs="Arial"/>
      </w:rPr>
    </w:pPr>
    <w:r>
      <w:rPr>
        <w:rStyle w:val="48"/>
        <w:rFonts w:ascii="Arial" w:hAnsi="Arial" w:cs="Arial"/>
      </w:rPr>
      <w:fldChar w:fldCharType="begin"/>
    </w:r>
    <w:r>
      <w:rPr>
        <w:rStyle w:val="48"/>
        <w:rFonts w:ascii="Arial" w:hAnsi="Arial" w:cs="Arial"/>
      </w:rPr>
      <w:instrText xml:space="preserve"> PAGE </w:instrText>
    </w:r>
    <w:r>
      <w:rPr>
        <w:rStyle w:val="48"/>
        <w:rFonts w:ascii="Arial" w:hAnsi="Arial" w:cs="Arial"/>
      </w:rPr>
      <w:fldChar w:fldCharType="separate"/>
    </w:r>
    <w:r>
      <w:rPr>
        <w:rStyle w:val="48"/>
        <w:rFonts w:ascii="Arial" w:hAnsi="Arial" w:cs="Arial"/>
      </w:rPr>
      <w:t>18</w:t>
    </w:r>
    <w:r>
      <w:rPr>
        <w:rStyle w:val="48"/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0115455"/>
      <w:docPartObj>
        <w:docPartGallery w:val="AutoText"/>
      </w:docPartObj>
    </w:sdtPr>
    <w:sdtContent>
      <w:p w14:paraId="4C067DD9">
        <w:pPr>
          <w:pStyle w:val="21"/>
          <w:jc w:val="right"/>
        </w:pPr>
      </w:p>
      <w:tbl>
        <w:tblPr>
          <w:tblStyle w:val="5"/>
          <w:tblW w:w="10314" w:type="dxa"/>
          <w:tblInd w:w="0" w:type="dxa"/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autofit"/>
          <w:tblCellMar>
            <w:top w:w="0" w:type="dxa"/>
            <w:left w:w="108" w:type="dxa"/>
            <w:bottom w:w="0" w:type="dxa"/>
            <w:right w:w="108" w:type="dxa"/>
          </w:tblCellMar>
        </w:tblPr>
        <w:tblGrid>
          <w:gridCol w:w="10314"/>
        </w:tblGrid>
        <w:tr w14:paraId="73F9EE89">
          <w:tblPrEx>
            <w:tbl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insideH w:val="single" w:color="auto" w:sz="4" w:space="0"/>
              <w:insideV w:val="single" w:color="auto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rPr>
            <w:trHeight w:val="273" w:hRule="atLeast"/>
          </w:trPr>
          <w:tc>
            <w:tcPr>
              <w:tcW w:w="10314" w:type="dxa"/>
              <w:shd w:val="clear" w:color="auto" w:fill="auto"/>
            </w:tcPr>
            <w:p w14:paraId="3016C114">
              <w:pPr>
                <w:pStyle w:val="21"/>
                <w:spacing w:after="0"/>
                <w:rPr>
                  <w:rStyle w:val="10"/>
                  <w:rFonts w:ascii="Arial" w:hAnsi="Arial" w:cs="Arial"/>
                  <w:sz w:val="20"/>
                </w:rPr>
              </w:pPr>
              <w:r>
                <w:rPr>
                  <w:rFonts w:ascii="Arial" w:hAnsi="Arial" w:cs="Arial"/>
                  <w:b/>
                  <w:sz w:val="20"/>
                </w:rPr>
                <w:t>Издание официальное</w:t>
              </w:r>
              <w:r>
                <w:rPr>
                  <w:rFonts w:ascii="Arial" w:hAnsi="Arial" w:cs="Arial"/>
                  <w:sz w:val="20"/>
                </w:rPr>
                <w:t xml:space="preserve">                                                                                                                                      </w:t>
              </w:r>
            </w:p>
          </w:tc>
        </w:tr>
      </w:tbl>
      <w:p w14:paraId="5640E88B">
        <w:pPr>
          <w:pStyle w:val="21"/>
          <w:jc w:val="right"/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PAGE   \* MERGEFORMAT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pPr>
        <w:spacing w:before="0" w:after="0" w:line="276" w:lineRule="auto"/>
      </w:pPr>
      <w:r>
        <w:separator/>
      </w:r>
    </w:p>
  </w:footnote>
  <w:footnote w:type="continuationSeparator" w:id="5">
    <w:p>
      <w:pPr>
        <w:spacing w:before="0" w:after="0" w:line="276" w:lineRule="auto"/>
      </w:pPr>
      <w:r>
        <w:continuationSeparator/>
      </w:r>
    </w:p>
  </w:footnote>
  <w:footnote w:id="0">
    <w:p w14:paraId="28424B98">
      <w:pPr>
        <w:pStyle w:val="18"/>
        <w:jc w:val="both"/>
        <w:rPr>
          <w:rFonts w:ascii="Arial" w:hAnsi="Arial" w:cs="Arial"/>
        </w:rPr>
      </w:pPr>
      <w:r>
        <w:rPr>
          <w:rStyle w:val="6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Fonts w:ascii="Arial" w:hAnsi="Arial" w:cs="Arial"/>
        </w:rPr>
        <w:t>Подходящим эталоном для полиэфирной ткани является «Vektron 4003» производства Klopman International, Berliner Strasse 101, D-40880 Ратинген, Германия. Эта информация приводится для удобства пользователей настоящего стандарта и не является одобрением CEN/TC248 данного продукта. Могут быть использованы эквивалентные продукты, если можно доказать, что они приводят к тем же результатам.</w:t>
      </w:r>
    </w:p>
  </w:footnote>
  <w:footnote w:id="1">
    <w:p w14:paraId="24227192">
      <w:pPr>
        <w:pStyle w:val="18"/>
        <w:jc w:val="both"/>
        <w:rPr>
          <w:rFonts w:ascii="Arial" w:hAnsi="Arial" w:cs="Arial"/>
        </w:rPr>
      </w:pPr>
      <w:r>
        <w:rPr>
          <w:rStyle w:val="6"/>
          <w:rFonts w:ascii="Arial" w:hAnsi="Arial" w:cs="Arial"/>
        </w:rPr>
        <w:t>2)</w:t>
      </w:r>
      <w:r>
        <w:rPr>
          <w:rFonts w:ascii="Arial" w:hAnsi="Arial" w:cs="Arial"/>
        </w:rPr>
        <w:t xml:space="preserve"> В практических целях каждая лаборатория может выбрать «внутренний калибровочный стандартный текстильный материал», предпочтительно с достаточно высоким значением передачи жидкого пота.</w:t>
      </w:r>
    </w:p>
    <w:p w14:paraId="586BA58F">
      <w:pPr>
        <w:pStyle w:val="1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информации, эталонная полиэфирнаяя ткань (5.2, сноска 1) показала следующие значения:</w:t>
      </w:r>
    </w:p>
    <w:p w14:paraId="34BB4FA4">
      <w:pPr>
        <w:pStyle w:val="18"/>
        <w:jc w:val="both"/>
        <w:rPr>
          <w:rFonts w:ascii="Arial" w:hAnsi="Arial" w:cs="Arial"/>
        </w:rPr>
      </w:pPr>
      <w:r>
        <w:rPr>
          <w:rFonts w:ascii="Arial" w:hAnsi="Arial" w:cs="Arial"/>
          <w:i/>
          <w:lang w:val="en-US"/>
        </w:rPr>
        <w:t>K</w:t>
      </w:r>
      <w:r>
        <w:rPr>
          <w:rFonts w:ascii="Arial" w:hAnsi="Arial" w:cs="Arial"/>
          <w:vertAlign w:val="subscript"/>
          <w:lang w:val="en-US"/>
        </w:rPr>
        <w:t>f</w:t>
      </w:r>
      <w:r>
        <w:rPr>
          <w:rFonts w:ascii="Arial" w:hAnsi="Arial" w:cs="Arial"/>
        </w:rPr>
        <w:t>: (A) 0,69: (B) 0,69; (</w:t>
      </w: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</w:rPr>
        <w:t>) 0,71; среднее значение 0,70</w:t>
      </w:r>
    </w:p>
    <w:p w14:paraId="10EB279D">
      <w:pPr>
        <w:pStyle w:val="18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[г/м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∙ч]: (A) 835; (8) 794; (C) 849; среднее значение 826</w:t>
      </w:r>
    </w:p>
    <w:p w14:paraId="7C8C3640">
      <w:pPr>
        <w:pStyle w:val="18"/>
        <w:jc w:val="both"/>
      </w:pPr>
      <w:r>
        <w:rPr>
          <w:rFonts w:ascii="Arial" w:hAnsi="Arial" w:cs="Arial"/>
          <w:i/>
          <w:lang w:val="en-US"/>
        </w:rPr>
        <w:t>G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[</w:t>
      </w:r>
      <w:r>
        <w:rPr>
          <w:rFonts w:ascii="Arial" w:hAnsi="Arial" w:cs="Arial"/>
          <w:lang w:val="en-US"/>
        </w:rPr>
        <w:t>g</w:t>
      </w:r>
      <w:r>
        <w:rPr>
          <w:rFonts w:ascii="Arial" w:hAnsi="Arial" w:cs="Arial"/>
        </w:rPr>
        <w:t>] (A) 2,3; (В) 2,6; (C) 2,4; среднее значение 2,4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D9C42">
    <w:pPr>
      <w:pStyle w:val="19"/>
    </w:pPr>
    <w:r>
      <w:rPr>
        <w:rFonts w:ascii="Arial" w:hAnsi="Arial" w:cs="Arial"/>
        <w:sz w:val="24"/>
      </w:rPr>
      <w:t xml:space="preserve">ГОСТ </w:t>
    </w:r>
    <w:r>
      <w:rPr>
        <w:rFonts w:ascii="Arial" w:hAnsi="Arial" w:cs="Arial"/>
        <w:sz w:val="24"/>
        <w:lang w:val="en-US"/>
      </w:rPr>
      <w:t>EN</w:t>
    </w:r>
    <w:r>
      <w:rPr>
        <w:rFonts w:ascii="Arial" w:hAnsi="Arial" w:cs="Arial"/>
        <w:sz w:val="24"/>
      </w:rPr>
      <w:t xml:space="preserve"> 17534 </w:t>
    </w:r>
    <w:r>
      <w:rPr>
        <w:rFonts w:ascii="Arial" w:hAnsi="Arial" w:cs="Arial"/>
        <w:bCs/>
        <w:i/>
        <w:iCs/>
      </w:rPr>
      <w:t xml:space="preserve">(проект, </w:t>
    </w:r>
    <w:r>
      <w:rPr>
        <w:rFonts w:ascii="Arial" w:hAnsi="Arial" w:cs="Arial"/>
        <w:bCs/>
        <w:i/>
        <w:iCs/>
        <w:lang w:val="en-US"/>
      </w:rPr>
      <w:t>RU</w:t>
    </w:r>
    <w:r>
      <w:rPr>
        <w:rFonts w:ascii="Arial" w:hAnsi="Arial" w:cs="Arial"/>
        <w:bCs/>
        <w:i/>
        <w:iCs/>
      </w:rPr>
      <w:t xml:space="preserve">, </w:t>
    </w:r>
    <w:r>
      <w:rPr>
        <w:rFonts w:ascii="Arial" w:hAnsi="Arial" w:cs="Arial"/>
        <w:i/>
        <w:color w:val="000000"/>
        <w:lang w:eastAsia="en-US"/>
      </w:rPr>
      <w:t>первая редакция</w:t>
    </w:r>
    <w:r>
      <w:rPr>
        <w:rFonts w:ascii="Arial" w:hAnsi="Arial" w:cs="Arial"/>
        <w:bCs/>
        <w:i/>
        <w:iCs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66794E">
    <w:pPr>
      <w:pStyle w:val="19"/>
      <w:jc w:val="right"/>
    </w:pPr>
    <w:r>
      <w:rPr>
        <w:rFonts w:ascii="Arial" w:hAnsi="Arial" w:cs="Arial"/>
        <w:sz w:val="24"/>
      </w:rPr>
      <w:t xml:space="preserve">ГОСТ </w:t>
    </w:r>
    <w:r>
      <w:rPr>
        <w:rFonts w:ascii="Arial" w:hAnsi="Arial" w:cs="Arial"/>
        <w:sz w:val="24"/>
        <w:lang w:val="en-US"/>
      </w:rPr>
      <w:t>EN</w:t>
    </w:r>
    <w:r>
      <w:rPr>
        <w:rFonts w:ascii="Arial" w:hAnsi="Arial" w:cs="Arial"/>
        <w:sz w:val="24"/>
      </w:rPr>
      <w:t xml:space="preserve"> 17534 </w:t>
    </w:r>
    <w:r>
      <w:rPr>
        <w:rFonts w:ascii="Arial" w:hAnsi="Arial" w:cs="Arial"/>
        <w:bCs/>
        <w:i/>
        <w:iCs/>
      </w:rPr>
      <w:t xml:space="preserve">(проект, </w:t>
    </w:r>
    <w:r>
      <w:rPr>
        <w:rFonts w:ascii="Arial" w:hAnsi="Arial" w:cs="Arial"/>
        <w:bCs/>
        <w:i/>
        <w:iCs/>
        <w:lang w:val="en-US"/>
      </w:rPr>
      <w:t>RU</w:t>
    </w:r>
    <w:r>
      <w:rPr>
        <w:rFonts w:ascii="Arial" w:hAnsi="Arial" w:cs="Arial"/>
        <w:bCs/>
        <w:i/>
        <w:iCs/>
      </w:rPr>
      <w:t xml:space="preserve">, </w:t>
    </w:r>
    <w:r>
      <w:rPr>
        <w:rFonts w:ascii="Arial" w:hAnsi="Arial" w:cs="Arial"/>
        <w:i/>
        <w:color w:val="000000"/>
        <w:lang w:eastAsia="en-US"/>
      </w:rPr>
      <w:t>первая</w:t>
    </w:r>
    <w:r>
      <w:rPr>
        <w:rFonts w:ascii="Arial" w:hAnsi="Arial" w:cs="Arial"/>
        <w:i/>
        <w:color w:val="000000"/>
        <w:sz w:val="20"/>
        <w:szCs w:val="20"/>
        <w:lang w:eastAsia="en-US"/>
      </w:rPr>
      <w:t xml:space="preserve"> </w:t>
    </w:r>
    <w:r>
      <w:rPr>
        <w:rFonts w:ascii="Arial" w:hAnsi="Arial" w:cs="Arial"/>
        <w:i/>
        <w:color w:val="000000"/>
        <w:lang w:eastAsia="en-US"/>
      </w:rPr>
      <w:t>редакция</w:t>
    </w:r>
    <w:r>
      <w:rPr>
        <w:rFonts w:ascii="Arial" w:hAnsi="Arial" w:cs="Arial"/>
        <w:bCs/>
        <w:i/>
        <w:iCs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ECB74">
    <w:pPr>
      <w:pStyle w:val="19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F4B70">
    <w:pPr>
      <w:pStyle w:val="19"/>
      <w:jc w:val="right"/>
    </w:pPr>
    <w:r>
      <w:rPr>
        <w:rFonts w:ascii="Arial" w:hAnsi="Arial" w:cs="Arial"/>
        <w:sz w:val="24"/>
        <w:szCs w:val="24"/>
      </w:rPr>
      <w:t xml:space="preserve">ГОСТ EN 17534 </w:t>
    </w:r>
    <w:r>
      <w:rPr>
        <w:rFonts w:ascii="Arial" w:hAnsi="Arial" w:cs="Arial"/>
      </w:rPr>
      <w:t xml:space="preserve">(проект, RU, </w:t>
    </w:r>
    <w:r>
      <w:rPr>
        <w:rFonts w:ascii="Arial" w:hAnsi="Arial" w:cs="Arial"/>
        <w:i/>
        <w:color w:val="000000"/>
        <w:lang w:eastAsia="en-US"/>
      </w:rPr>
      <w:t>первая редакция</w:t>
    </w:r>
    <w:r>
      <w:rPr>
        <w:rFonts w:ascii="Arial" w:hAnsi="Arial" w:cs="Arial"/>
      </w:rPr>
      <w:t>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25EA0">
    <w:pPr>
      <w:pStyle w:val="19"/>
    </w:pPr>
    <w:r>
      <w:rPr>
        <w:rFonts w:ascii="Arial" w:hAnsi="Arial" w:cs="Arial"/>
        <w:sz w:val="24"/>
        <w:szCs w:val="24"/>
      </w:rPr>
      <w:t xml:space="preserve">ГОСТ EN 17534 </w:t>
    </w:r>
    <w:r>
      <w:rPr>
        <w:rFonts w:ascii="Arial" w:hAnsi="Arial" w:cs="Arial"/>
      </w:rPr>
      <w:t xml:space="preserve">(проект, RU, </w:t>
    </w:r>
    <w:r>
      <w:rPr>
        <w:rFonts w:ascii="Arial" w:hAnsi="Arial" w:cs="Arial"/>
        <w:i/>
        <w:color w:val="000000"/>
        <w:lang w:eastAsia="en-US"/>
      </w:rPr>
      <w:t>первая редакция</w:t>
    </w:r>
    <w:r>
      <w:rPr>
        <w:rFonts w:ascii="Arial" w:hAnsi="Arial" w:cs="Arial"/>
      </w:rPr>
      <w:t>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4EA2D">
    <w:pPr>
      <w:pStyle w:val="19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sz w:val="24"/>
      </w:rPr>
      <w:t>ГОСТ ISO 24266—2023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20"/>
  <w:evenAndOddHeaders w:val="1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noPunctuationKerning w:val="1"/>
  <w:characterSpacingControl w:val="doNotCompress"/>
  <w:strictFirstAndLastChars w:val="1"/>
  <w:footnotePr>
    <w:numRestart w:val="eachPage"/>
    <w:footnote w:id="4"/>
    <w:footnote w:id="5"/>
  </w:footnotePr>
  <w:endnotePr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DC"/>
    <w:rsid w:val="000001F9"/>
    <w:rsid w:val="00005646"/>
    <w:rsid w:val="000063DA"/>
    <w:rsid w:val="00006CB2"/>
    <w:rsid w:val="0000778E"/>
    <w:rsid w:val="000124DE"/>
    <w:rsid w:val="00013ACE"/>
    <w:rsid w:val="00015578"/>
    <w:rsid w:val="000158CA"/>
    <w:rsid w:val="00015B5D"/>
    <w:rsid w:val="00016AD2"/>
    <w:rsid w:val="00017718"/>
    <w:rsid w:val="00020D74"/>
    <w:rsid w:val="00023007"/>
    <w:rsid w:val="00023679"/>
    <w:rsid w:val="00024F17"/>
    <w:rsid w:val="00027408"/>
    <w:rsid w:val="00027607"/>
    <w:rsid w:val="00027AE5"/>
    <w:rsid w:val="00030327"/>
    <w:rsid w:val="000319A7"/>
    <w:rsid w:val="00032643"/>
    <w:rsid w:val="0003375D"/>
    <w:rsid w:val="00033945"/>
    <w:rsid w:val="000353B4"/>
    <w:rsid w:val="000362FF"/>
    <w:rsid w:val="00037ACA"/>
    <w:rsid w:val="000446A8"/>
    <w:rsid w:val="0004674A"/>
    <w:rsid w:val="00046E74"/>
    <w:rsid w:val="000505D5"/>
    <w:rsid w:val="00052316"/>
    <w:rsid w:val="00053E2F"/>
    <w:rsid w:val="000544F9"/>
    <w:rsid w:val="00054AEC"/>
    <w:rsid w:val="00054F3F"/>
    <w:rsid w:val="00055C8A"/>
    <w:rsid w:val="00055FFD"/>
    <w:rsid w:val="000611B0"/>
    <w:rsid w:val="00061CF8"/>
    <w:rsid w:val="00062083"/>
    <w:rsid w:val="00062710"/>
    <w:rsid w:val="00063DB0"/>
    <w:rsid w:val="00066F27"/>
    <w:rsid w:val="00067BAF"/>
    <w:rsid w:val="00070B04"/>
    <w:rsid w:val="000715F7"/>
    <w:rsid w:val="00072BB1"/>
    <w:rsid w:val="00073C3E"/>
    <w:rsid w:val="00074F18"/>
    <w:rsid w:val="000761DA"/>
    <w:rsid w:val="00082BF6"/>
    <w:rsid w:val="00083644"/>
    <w:rsid w:val="00083D10"/>
    <w:rsid w:val="00083DC3"/>
    <w:rsid w:val="00085040"/>
    <w:rsid w:val="00085810"/>
    <w:rsid w:val="00086DD2"/>
    <w:rsid w:val="00093022"/>
    <w:rsid w:val="000952D7"/>
    <w:rsid w:val="000A0710"/>
    <w:rsid w:val="000A36D7"/>
    <w:rsid w:val="000A3C0F"/>
    <w:rsid w:val="000A4C41"/>
    <w:rsid w:val="000B08B7"/>
    <w:rsid w:val="000B122C"/>
    <w:rsid w:val="000B2D72"/>
    <w:rsid w:val="000B748F"/>
    <w:rsid w:val="000C01BD"/>
    <w:rsid w:val="000C01C5"/>
    <w:rsid w:val="000C0DDC"/>
    <w:rsid w:val="000C0F99"/>
    <w:rsid w:val="000C4266"/>
    <w:rsid w:val="000C42DC"/>
    <w:rsid w:val="000C45DC"/>
    <w:rsid w:val="000C594F"/>
    <w:rsid w:val="000C60F8"/>
    <w:rsid w:val="000D101F"/>
    <w:rsid w:val="000D40EE"/>
    <w:rsid w:val="000D63DA"/>
    <w:rsid w:val="000E0A95"/>
    <w:rsid w:val="000E11C3"/>
    <w:rsid w:val="000F3832"/>
    <w:rsid w:val="000F3DB3"/>
    <w:rsid w:val="001004ED"/>
    <w:rsid w:val="0011170F"/>
    <w:rsid w:val="001118EE"/>
    <w:rsid w:val="00111E6D"/>
    <w:rsid w:val="001129F7"/>
    <w:rsid w:val="00115A26"/>
    <w:rsid w:val="001178DB"/>
    <w:rsid w:val="0012054D"/>
    <w:rsid w:val="00121106"/>
    <w:rsid w:val="001211BA"/>
    <w:rsid w:val="00122AED"/>
    <w:rsid w:val="0012672C"/>
    <w:rsid w:val="00126739"/>
    <w:rsid w:val="001267DD"/>
    <w:rsid w:val="00127389"/>
    <w:rsid w:val="00127FF1"/>
    <w:rsid w:val="00130373"/>
    <w:rsid w:val="00131F32"/>
    <w:rsid w:val="001337D6"/>
    <w:rsid w:val="001362A5"/>
    <w:rsid w:val="00136997"/>
    <w:rsid w:val="001411D2"/>
    <w:rsid w:val="00142012"/>
    <w:rsid w:val="00142354"/>
    <w:rsid w:val="001438E9"/>
    <w:rsid w:val="0014691B"/>
    <w:rsid w:val="0014704E"/>
    <w:rsid w:val="00147790"/>
    <w:rsid w:val="00150219"/>
    <w:rsid w:val="0015139E"/>
    <w:rsid w:val="00151DEA"/>
    <w:rsid w:val="001563F1"/>
    <w:rsid w:val="0015678A"/>
    <w:rsid w:val="00163D33"/>
    <w:rsid w:val="00164660"/>
    <w:rsid w:val="00164D56"/>
    <w:rsid w:val="00166283"/>
    <w:rsid w:val="00170ABF"/>
    <w:rsid w:val="001712BE"/>
    <w:rsid w:val="00171445"/>
    <w:rsid w:val="00171BE7"/>
    <w:rsid w:val="00171FE3"/>
    <w:rsid w:val="00172026"/>
    <w:rsid w:val="0017458E"/>
    <w:rsid w:val="00174CB2"/>
    <w:rsid w:val="00175FB3"/>
    <w:rsid w:val="001766EC"/>
    <w:rsid w:val="00176B47"/>
    <w:rsid w:val="0017755B"/>
    <w:rsid w:val="00177A1B"/>
    <w:rsid w:val="00180B01"/>
    <w:rsid w:val="00183377"/>
    <w:rsid w:val="00190EAC"/>
    <w:rsid w:val="00190F7D"/>
    <w:rsid w:val="001A3CF3"/>
    <w:rsid w:val="001A54E1"/>
    <w:rsid w:val="001B1E6C"/>
    <w:rsid w:val="001B391D"/>
    <w:rsid w:val="001B4CF3"/>
    <w:rsid w:val="001C257D"/>
    <w:rsid w:val="001C2A4B"/>
    <w:rsid w:val="001C2BFF"/>
    <w:rsid w:val="001C2EBC"/>
    <w:rsid w:val="001C341C"/>
    <w:rsid w:val="001C38B4"/>
    <w:rsid w:val="001C3BBC"/>
    <w:rsid w:val="001C4DFE"/>
    <w:rsid w:val="001C54B9"/>
    <w:rsid w:val="001C679F"/>
    <w:rsid w:val="001C68AC"/>
    <w:rsid w:val="001C6A56"/>
    <w:rsid w:val="001C762A"/>
    <w:rsid w:val="001C7668"/>
    <w:rsid w:val="001D4FE5"/>
    <w:rsid w:val="001D6392"/>
    <w:rsid w:val="001E048D"/>
    <w:rsid w:val="001E270A"/>
    <w:rsid w:val="001E3A83"/>
    <w:rsid w:val="001E4407"/>
    <w:rsid w:val="001E4793"/>
    <w:rsid w:val="001E55CF"/>
    <w:rsid w:val="001E5DD7"/>
    <w:rsid w:val="001E6933"/>
    <w:rsid w:val="001F09F4"/>
    <w:rsid w:val="001F30F2"/>
    <w:rsid w:val="001F4140"/>
    <w:rsid w:val="001F706C"/>
    <w:rsid w:val="002033E6"/>
    <w:rsid w:val="00203B0C"/>
    <w:rsid w:val="00212C08"/>
    <w:rsid w:val="00213AB5"/>
    <w:rsid w:val="002143E7"/>
    <w:rsid w:val="002146CC"/>
    <w:rsid w:val="00216D0A"/>
    <w:rsid w:val="00217A2C"/>
    <w:rsid w:val="0022127B"/>
    <w:rsid w:val="0022429E"/>
    <w:rsid w:val="002251B8"/>
    <w:rsid w:val="002256DA"/>
    <w:rsid w:val="00225BD2"/>
    <w:rsid w:val="002265CB"/>
    <w:rsid w:val="00226ADA"/>
    <w:rsid w:val="00227F0A"/>
    <w:rsid w:val="00230878"/>
    <w:rsid w:val="00230C6B"/>
    <w:rsid w:val="00230D13"/>
    <w:rsid w:val="002310B6"/>
    <w:rsid w:val="00231D0F"/>
    <w:rsid w:val="002324B5"/>
    <w:rsid w:val="00233C38"/>
    <w:rsid w:val="0023416B"/>
    <w:rsid w:val="00243E3C"/>
    <w:rsid w:val="00246BFB"/>
    <w:rsid w:val="0025087E"/>
    <w:rsid w:val="00252ADE"/>
    <w:rsid w:val="00252E7B"/>
    <w:rsid w:val="0025787A"/>
    <w:rsid w:val="00260442"/>
    <w:rsid w:val="0026215E"/>
    <w:rsid w:val="00266AB1"/>
    <w:rsid w:val="00266BE6"/>
    <w:rsid w:val="00267BC5"/>
    <w:rsid w:val="00267E0F"/>
    <w:rsid w:val="00270ED8"/>
    <w:rsid w:val="00273E5A"/>
    <w:rsid w:val="0027408A"/>
    <w:rsid w:val="002749E6"/>
    <w:rsid w:val="00280D7B"/>
    <w:rsid w:val="00281C94"/>
    <w:rsid w:val="00284863"/>
    <w:rsid w:val="00284EE3"/>
    <w:rsid w:val="002858B0"/>
    <w:rsid w:val="002912ED"/>
    <w:rsid w:val="00291687"/>
    <w:rsid w:val="002933D8"/>
    <w:rsid w:val="00293677"/>
    <w:rsid w:val="00296CA1"/>
    <w:rsid w:val="00296D4F"/>
    <w:rsid w:val="002A06B1"/>
    <w:rsid w:val="002A1FC0"/>
    <w:rsid w:val="002A2F6C"/>
    <w:rsid w:val="002A4773"/>
    <w:rsid w:val="002A4DF7"/>
    <w:rsid w:val="002A636F"/>
    <w:rsid w:val="002A7066"/>
    <w:rsid w:val="002B0AB6"/>
    <w:rsid w:val="002B148B"/>
    <w:rsid w:val="002B2B5A"/>
    <w:rsid w:val="002B3C9F"/>
    <w:rsid w:val="002B430B"/>
    <w:rsid w:val="002B4669"/>
    <w:rsid w:val="002C079B"/>
    <w:rsid w:val="002C1291"/>
    <w:rsid w:val="002C1839"/>
    <w:rsid w:val="002C2082"/>
    <w:rsid w:val="002C2898"/>
    <w:rsid w:val="002C4E75"/>
    <w:rsid w:val="002D289E"/>
    <w:rsid w:val="002D397E"/>
    <w:rsid w:val="002D4B3A"/>
    <w:rsid w:val="002E06AD"/>
    <w:rsid w:val="002E296E"/>
    <w:rsid w:val="002E4012"/>
    <w:rsid w:val="002E584F"/>
    <w:rsid w:val="002E7157"/>
    <w:rsid w:val="002F0763"/>
    <w:rsid w:val="002F192E"/>
    <w:rsid w:val="002F3E0F"/>
    <w:rsid w:val="002F4A79"/>
    <w:rsid w:val="002F6934"/>
    <w:rsid w:val="002F6E76"/>
    <w:rsid w:val="002F7057"/>
    <w:rsid w:val="00301246"/>
    <w:rsid w:val="00301C2F"/>
    <w:rsid w:val="00303A23"/>
    <w:rsid w:val="003045EB"/>
    <w:rsid w:val="00304CEF"/>
    <w:rsid w:val="0030769A"/>
    <w:rsid w:val="0031103A"/>
    <w:rsid w:val="00315961"/>
    <w:rsid w:val="00316463"/>
    <w:rsid w:val="00317389"/>
    <w:rsid w:val="00321D2A"/>
    <w:rsid w:val="00322819"/>
    <w:rsid w:val="00323CAE"/>
    <w:rsid w:val="00323CFB"/>
    <w:rsid w:val="00327535"/>
    <w:rsid w:val="00327B3B"/>
    <w:rsid w:val="003323D4"/>
    <w:rsid w:val="003327D4"/>
    <w:rsid w:val="0033367E"/>
    <w:rsid w:val="0033559B"/>
    <w:rsid w:val="00342E0B"/>
    <w:rsid w:val="00346582"/>
    <w:rsid w:val="00346C9C"/>
    <w:rsid w:val="0034712E"/>
    <w:rsid w:val="00347A0C"/>
    <w:rsid w:val="00350516"/>
    <w:rsid w:val="00350613"/>
    <w:rsid w:val="00350A25"/>
    <w:rsid w:val="0035273E"/>
    <w:rsid w:val="00353088"/>
    <w:rsid w:val="00353D98"/>
    <w:rsid w:val="0035403B"/>
    <w:rsid w:val="0035481D"/>
    <w:rsid w:val="00355C0F"/>
    <w:rsid w:val="0035680F"/>
    <w:rsid w:val="003600E7"/>
    <w:rsid w:val="0036091A"/>
    <w:rsid w:val="00361BC8"/>
    <w:rsid w:val="003621DF"/>
    <w:rsid w:val="0036230A"/>
    <w:rsid w:val="0036234B"/>
    <w:rsid w:val="00362EC7"/>
    <w:rsid w:val="00366961"/>
    <w:rsid w:val="00370C5D"/>
    <w:rsid w:val="00370E44"/>
    <w:rsid w:val="00370EA9"/>
    <w:rsid w:val="003727D3"/>
    <w:rsid w:val="0037461F"/>
    <w:rsid w:val="003750B1"/>
    <w:rsid w:val="00375200"/>
    <w:rsid w:val="00375B6A"/>
    <w:rsid w:val="003770BA"/>
    <w:rsid w:val="003772F4"/>
    <w:rsid w:val="00377852"/>
    <w:rsid w:val="00377963"/>
    <w:rsid w:val="00382345"/>
    <w:rsid w:val="0038240E"/>
    <w:rsid w:val="00383915"/>
    <w:rsid w:val="00384067"/>
    <w:rsid w:val="00384854"/>
    <w:rsid w:val="00390FFA"/>
    <w:rsid w:val="0039237A"/>
    <w:rsid w:val="003933F4"/>
    <w:rsid w:val="00393D61"/>
    <w:rsid w:val="003956A7"/>
    <w:rsid w:val="003960C8"/>
    <w:rsid w:val="003A0C9E"/>
    <w:rsid w:val="003A1D0E"/>
    <w:rsid w:val="003A2699"/>
    <w:rsid w:val="003A4FB3"/>
    <w:rsid w:val="003A5B24"/>
    <w:rsid w:val="003A5C13"/>
    <w:rsid w:val="003A5DEA"/>
    <w:rsid w:val="003A6690"/>
    <w:rsid w:val="003A7A0B"/>
    <w:rsid w:val="003A7A6A"/>
    <w:rsid w:val="003B019E"/>
    <w:rsid w:val="003B2478"/>
    <w:rsid w:val="003B2E7D"/>
    <w:rsid w:val="003B509E"/>
    <w:rsid w:val="003B6875"/>
    <w:rsid w:val="003B695C"/>
    <w:rsid w:val="003B7569"/>
    <w:rsid w:val="003C7F81"/>
    <w:rsid w:val="003D2B1A"/>
    <w:rsid w:val="003D2D1A"/>
    <w:rsid w:val="003D599D"/>
    <w:rsid w:val="003D618C"/>
    <w:rsid w:val="003D6884"/>
    <w:rsid w:val="003D7A00"/>
    <w:rsid w:val="003D7C92"/>
    <w:rsid w:val="003D7F98"/>
    <w:rsid w:val="003E1B0A"/>
    <w:rsid w:val="003E2BFF"/>
    <w:rsid w:val="003E335C"/>
    <w:rsid w:val="003E4D25"/>
    <w:rsid w:val="003F0DE6"/>
    <w:rsid w:val="003F1DED"/>
    <w:rsid w:val="003F25BD"/>
    <w:rsid w:val="003F2A8C"/>
    <w:rsid w:val="003F4F17"/>
    <w:rsid w:val="003F552B"/>
    <w:rsid w:val="003F57E5"/>
    <w:rsid w:val="003F631A"/>
    <w:rsid w:val="003F6704"/>
    <w:rsid w:val="00401E5F"/>
    <w:rsid w:val="00402D1B"/>
    <w:rsid w:val="00402FB8"/>
    <w:rsid w:val="00404F4B"/>
    <w:rsid w:val="00406E31"/>
    <w:rsid w:val="00410C11"/>
    <w:rsid w:val="00410DAB"/>
    <w:rsid w:val="00411931"/>
    <w:rsid w:val="00412520"/>
    <w:rsid w:val="00414DA7"/>
    <w:rsid w:val="004169B0"/>
    <w:rsid w:val="00421033"/>
    <w:rsid w:val="004214D3"/>
    <w:rsid w:val="004219DC"/>
    <w:rsid w:val="0042226C"/>
    <w:rsid w:val="00423AA4"/>
    <w:rsid w:val="00427F59"/>
    <w:rsid w:val="004300BE"/>
    <w:rsid w:val="00431412"/>
    <w:rsid w:val="00432295"/>
    <w:rsid w:val="004329A7"/>
    <w:rsid w:val="00435336"/>
    <w:rsid w:val="004379C5"/>
    <w:rsid w:val="0044055D"/>
    <w:rsid w:val="00441D4C"/>
    <w:rsid w:val="0044212F"/>
    <w:rsid w:val="004421EC"/>
    <w:rsid w:val="00442784"/>
    <w:rsid w:val="00443391"/>
    <w:rsid w:val="00443D22"/>
    <w:rsid w:val="004446F8"/>
    <w:rsid w:val="00444A05"/>
    <w:rsid w:val="00444EE2"/>
    <w:rsid w:val="00447158"/>
    <w:rsid w:val="00447E87"/>
    <w:rsid w:val="004504E8"/>
    <w:rsid w:val="00450F25"/>
    <w:rsid w:val="00452C71"/>
    <w:rsid w:val="00452D10"/>
    <w:rsid w:val="004561AB"/>
    <w:rsid w:val="00456AFB"/>
    <w:rsid w:val="00462445"/>
    <w:rsid w:val="0046298F"/>
    <w:rsid w:val="00464751"/>
    <w:rsid w:val="004653C1"/>
    <w:rsid w:val="0046705D"/>
    <w:rsid w:val="0046730D"/>
    <w:rsid w:val="00467A0A"/>
    <w:rsid w:val="0047516F"/>
    <w:rsid w:val="00476CE2"/>
    <w:rsid w:val="004770A8"/>
    <w:rsid w:val="00477CA6"/>
    <w:rsid w:val="00480C06"/>
    <w:rsid w:val="00480DBD"/>
    <w:rsid w:val="00485460"/>
    <w:rsid w:val="004856F1"/>
    <w:rsid w:val="0049208C"/>
    <w:rsid w:val="00494D7B"/>
    <w:rsid w:val="00494E86"/>
    <w:rsid w:val="00495228"/>
    <w:rsid w:val="004967C8"/>
    <w:rsid w:val="00496874"/>
    <w:rsid w:val="004A0285"/>
    <w:rsid w:val="004A0E10"/>
    <w:rsid w:val="004A1044"/>
    <w:rsid w:val="004A1F78"/>
    <w:rsid w:val="004A3C05"/>
    <w:rsid w:val="004A656D"/>
    <w:rsid w:val="004B1A50"/>
    <w:rsid w:val="004B2BD6"/>
    <w:rsid w:val="004B396D"/>
    <w:rsid w:val="004B42F1"/>
    <w:rsid w:val="004B57CB"/>
    <w:rsid w:val="004B6293"/>
    <w:rsid w:val="004B6738"/>
    <w:rsid w:val="004B740B"/>
    <w:rsid w:val="004B7489"/>
    <w:rsid w:val="004C0083"/>
    <w:rsid w:val="004C014E"/>
    <w:rsid w:val="004C08F7"/>
    <w:rsid w:val="004C24ED"/>
    <w:rsid w:val="004C2FBA"/>
    <w:rsid w:val="004C337D"/>
    <w:rsid w:val="004C497A"/>
    <w:rsid w:val="004C50AE"/>
    <w:rsid w:val="004C66B7"/>
    <w:rsid w:val="004D056B"/>
    <w:rsid w:val="004D172A"/>
    <w:rsid w:val="004D224D"/>
    <w:rsid w:val="004D2296"/>
    <w:rsid w:val="004D264E"/>
    <w:rsid w:val="004D2C51"/>
    <w:rsid w:val="004D650B"/>
    <w:rsid w:val="004D6F03"/>
    <w:rsid w:val="004E32D9"/>
    <w:rsid w:val="004E33D9"/>
    <w:rsid w:val="004E63CC"/>
    <w:rsid w:val="004E69B1"/>
    <w:rsid w:val="004F18B3"/>
    <w:rsid w:val="004F2679"/>
    <w:rsid w:val="004F27E1"/>
    <w:rsid w:val="004F4D0A"/>
    <w:rsid w:val="004F5437"/>
    <w:rsid w:val="00500031"/>
    <w:rsid w:val="00501D7E"/>
    <w:rsid w:val="00502EB6"/>
    <w:rsid w:val="005038FE"/>
    <w:rsid w:val="00504012"/>
    <w:rsid w:val="005048FC"/>
    <w:rsid w:val="005068A5"/>
    <w:rsid w:val="005077C3"/>
    <w:rsid w:val="00512B1F"/>
    <w:rsid w:val="00515EB5"/>
    <w:rsid w:val="00516474"/>
    <w:rsid w:val="00520918"/>
    <w:rsid w:val="00523D9B"/>
    <w:rsid w:val="00526072"/>
    <w:rsid w:val="005318F6"/>
    <w:rsid w:val="00532A4C"/>
    <w:rsid w:val="00535D19"/>
    <w:rsid w:val="00536C64"/>
    <w:rsid w:val="005413F2"/>
    <w:rsid w:val="005420BF"/>
    <w:rsid w:val="00544063"/>
    <w:rsid w:val="0054656B"/>
    <w:rsid w:val="005465E5"/>
    <w:rsid w:val="005474E1"/>
    <w:rsid w:val="00547A32"/>
    <w:rsid w:val="00550625"/>
    <w:rsid w:val="0055072C"/>
    <w:rsid w:val="00551C81"/>
    <w:rsid w:val="00552646"/>
    <w:rsid w:val="00552867"/>
    <w:rsid w:val="00552A86"/>
    <w:rsid w:val="00553C04"/>
    <w:rsid w:val="005560EF"/>
    <w:rsid w:val="005560F4"/>
    <w:rsid w:val="00560F13"/>
    <w:rsid w:val="00560F1C"/>
    <w:rsid w:val="005613F9"/>
    <w:rsid w:val="00563FEA"/>
    <w:rsid w:val="00565D47"/>
    <w:rsid w:val="0056602E"/>
    <w:rsid w:val="0057152E"/>
    <w:rsid w:val="0057352B"/>
    <w:rsid w:val="00573897"/>
    <w:rsid w:val="005746DF"/>
    <w:rsid w:val="00577AD8"/>
    <w:rsid w:val="00580254"/>
    <w:rsid w:val="00580414"/>
    <w:rsid w:val="00582660"/>
    <w:rsid w:val="00584473"/>
    <w:rsid w:val="00587A88"/>
    <w:rsid w:val="0059011D"/>
    <w:rsid w:val="00590C0F"/>
    <w:rsid w:val="005932AE"/>
    <w:rsid w:val="00595104"/>
    <w:rsid w:val="00595E7B"/>
    <w:rsid w:val="00595F03"/>
    <w:rsid w:val="00597DAD"/>
    <w:rsid w:val="005A3986"/>
    <w:rsid w:val="005A4BDF"/>
    <w:rsid w:val="005A6C55"/>
    <w:rsid w:val="005A6DD5"/>
    <w:rsid w:val="005A7D17"/>
    <w:rsid w:val="005A7D43"/>
    <w:rsid w:val="005B1DD7"/>
    <w:rsid w:val="005B2B14"/>
    <w:rsid w:val="005B32BA"/>
    <w:rsid w:val="005B4140"/>
    <w:rsid w:val="005B4647"/>
    <w:rsid w:val="005B648C"/>
    <w:rsid w:val="005B6F0B"/>
    <w:rsid w:val="005B7C51"/>
    <w:rsid w:val="005C1932"/>
    <w:rsid w:val="005C19F8"/>
    <w:rsid w:val="005C2EBE"/>
    <w:rsid w:val="005C5B5C"/>
    <w:rsid w:val="005C6C22"/>
    <w:rsid w:val="005C6F3C"/>
    <w:rsid w:val="005C7EFD"/>
    <w:rsid w:val="005C7F7B"/>
    <w:rsid w:val="005D083A"/>
    <w:rsid w:val="005D17ED"/>
    <w:rsid w:val="005D1AFE"/>
    <w:rsid w:val="005D3053"/>
    <w:rsid w:val="005D4CD6"/>
    <w:rsid w:val="005D6E75"/>
    <w:rsid w:val="005D7D21"/>
    <w:rsid w:val="005D7EF2"/>
    <w:rsid w:val="005E1698"/>
    <w:rsid w:val="005E1DE3"/>
    <w:rsid w:val="005E2BD9"/>
    <w:rsid w:val="005E3585"/>
    <w:rsid w:val="005E3881"/>
    <w:rsid w:val="005E656A"/>
    <w:rsid w:val="005E66AC"/>
    <w:rsid w:val="005F1B28"/>
    <w:rsid w:val="005F3833"/>
    <w:rsid w:val="005F5BE4"/>
    <w:rsid w:val="00601F0E"/>
    <w:rsid w:val="006024A9"/>
    <w:rsid w:val="00603316"/>
    <w:rsid w:val="00603C60"/>
    <w:rsid w:val="00604C02"/>
    <w:rsid w:val="00606406"/>
    <w:rsid w:val="00607E11"/>
    <w:rsid w:val="006106D8"/>
    <w:rsid w:val="00611AC9"/>
    <w:rsid w:val="00614420"/>
    <w:rsid w:val="00620AC0"/>
    <w:rsid w:val="00622A98"/>
    <w:rsid w:val="00623236"/>
    <w:rsid w:val="006236FA"/>
    <w:rsid w:val="0062412B"/>
    <w:rsid w:val="006259F9"/>
    <w:rsid w:val="00625BB9"/>
    <w:rsid w:val="00626579"/>
    <w:rsid w:val="00630319"/>
    <w:rsid w:val="0063262E"/>
    <w:rsid w:val="00632DC0"/>
    <w:rsid w:val="00633143"/>
    <w:rsid w:val="006367A2"/>
    <w:rsid w:val="00637E8A"/>
    <w:rsid w:val="006416E9"/>
    <w:rsid w:val="00641985"/>
    <w:rsid w:val="00642C67"/>
    <w:rsid w:val="0064641F"/>
    <w:rsid w:val="006476B5"/>
    <w:rsid w:val="00647937"/>
    <w:rsid w:val="006508A4"/>
    <w:rsid w:val="0065432D"/>
    <w:rsid w:val="006554A9"/>
    <w:rsid w:val="00657EEF"/>
    <w:rsid w:val="00663CD5"/>
    <w:rsid w:val="00663E6B"/>
    <w:rsid w:val="00664744"/>
    <w:rsid w:val="00667D88"/>
    <w:rsid w:val="00671CCD"/>
    <w:rsid w:val="006727A2"/>
    <w:rsid w:val="00673BB7"/>
    <w:rsid w:val="00674D4F"/>
    <w:rsid w:val="0067628D"/>
    <w:rsid w:val="0068087B"/>
    <w:rsid w:val="0068180E"/>
    <w:rsid w:val="00681CD9"/>
    <w:rsid w:val="00682009"/>
    <w:rsid w:val="0068212A"/>
    <w:rsid w:val="006826EE"/>
    <w:rsid w:val="006828D8"/>
    <w:rsid w:val="006838EF"/>
    <w:rsid w:val="00685229"/>
    <w:rsid w:val="006925A2"/>
    <w:rsid w:val="00693822"/>
    <w:rsid w:val="006945F8"/>
    <w:rsid w:val="00694BC2"/>
    <w:rsid w:val="006A018E"/>
    <w:rsid w:val="006A0D7C"/>
    <w:rsid w:val="006A5BF8"/>
    <w:rsid w:val="006A6989"/>
    <w:rsid w:val="006B2469"/>
    <w:rsid w:val="006B25D9"/>
    <w:rsid w:val="006B2AF2"/>
    <w:rsid w:val="006B4ABE"/>
    <w:rsid w:val="006B6C58"/>
    <w:rsid w:val="006B6EE7"/>
    <w:rsid w:val="006C027A"/>
    <w:rsid w:val="006C02BB"/>
    <w:rsid w:val="006C05C0"/>
    <w:rsid w:val="006C0DB4"/>
    <w:rsid w:val="006C100E"/>
    <w:rsid w:val="006C1D41"/>
    <w:rsid w:val="006C3BA0"/>
    <w:rsid w:val="006C4D6C"/>
    <w:rsid w:val="006C66C7"/>
    <w:rsid w:val="006C733C"/>
    <w:rsid w:val="006D2281"/>
    <w:rsid w:val="006D4203"/>
    <w:rsid w:val="006D4E2F"/>
    <w:rsid w:val="006D52AD"/>
    <w:rsid w:val="006D5A0C"/>
    <w:rsid w:val="006D6346"/>
    <w:rsid w:val="006E14CF"/>
    <w:rsid w:val="006E28A9"/>
    <w:rsid w:val="006E2C87"/>
    <w:rsid w:val="006E47B9"/>
    <w:rsid w:val="006E4C4E"/>
    <w:rsid w:val="006E5F73"/>
    <w:rsid w:val="006E7C36"/>
    <w:rsid w:val="006F0420"/>
    <w:rsid w:val="006F258B"/>
    <w:rsid w:val="006F2E9B"/>
    <w:rsid w:val="006F3D5C"/>
    <w:rsid w:val="006F4059"/>
    <w:rsid w:val="006F4375"/>
    <w:rsid w:val="006F4F32"/>
    <w:rsid w:val="006F7806"/>
    <w:rsid w:val="00700207"/>
    <w:rsid w:val="007011A6"/>
    <w:rsid w:val="007024CD"/>
    <w:rsid w:val="0070437E"/>
    <w:rsid w:val="0070550B"/>
    <w:rsid w:val="00711C46"/>
    <w:rsid w:val="007148D2"/>
    <w:rsid w:val="00716C6B"/>
    <w:rsid w:val="00720AA9"/>
    <w:rsid w:val="007249ED"/>
    <w:rsid w:val="00726022"/>
    <w:rsid w:val="00732856"/>
    <w:rsid w:val="00733FA7"/>
    <w:rsid w:val="0073617F"/>
    <w:rsid w:val="007366E0"/>
    <w:rsid w:val="007376AE"/>
    <w:rsid w:val="00737F2B"/>
    <w:rsid w:val="00740D0F"/>
    <w:rsid w:val="007422D3"/>
    <w:rsid w:val="00742FD4"/>
    <w:rsid w:val="00743E2F"/>
    <w:rsid w:val="00744348"/>
    <w:rsid w:val="007447F5"/>
    <w:rsid w:val="00744AC7"/>
    <w:rsid w:val="00745B96"/>
    <w:rsid w:val="00745BE1"/>
    <w:rsid w:val="0074650C"/>
    <w:rsid w:val="00746D2E"/>
    <w:rsid w:val="00751B33"/>
    <w:rsid w:val="0075290F"/>
    <w:rsid w:val="0075426E"/>
    <w:rsid w:val="00754285"/>
    <w:rsid w:val="007557E4"/>
    <w:rsid w:val="00761DA4"/>
    <w:rsid w:val="00762D20"/>
    <w:rsid w:val="00763533"/>
    <w:rsid w:val="007647E2"/>
    <w:rsid w:val="00764836"/>
    <w:rsid w:val="00766CDF"/>
    <w:rsid w:val="00767CFF"/>
    <w:rsid w:val="0077018A"/>
    <w:rsid w:val="00773109"/>
    <w:rsid w:val="00773468"/>
    <w:rsid w:val="00773801"/>
    <w:rsid w:val="00773AAC"/>
    <w:rsid w:val="00773DD6"/>
    <w:rsid w:val="00774B20"/>
    <w:rsid w:val="00782E10"/>
    <w:rsid w:val="007848A3"/>
    <w:rsid w:val="0078496B"/>
    <w:rsid w:val="00784BF3"/>
    <w:rsid w:val="00785A32"/>
    <w:rsid w:val="0079021F"/>
    <w:rsid w:val="0079332F"/>
    <w:rsid w:val="0079440B"/>
    <w:rsid w:val="00797EC8"/>
    <w:rsid w:val="007A002D"/>
    <w:rsid w:val="007A01B2"/>
    <w:rsid w:val="007A1399"/>
    <w:rsid w:val="007A1922"/>
    <w:rsid w:val="007A2C98"/>
    <w:rsid w:val="007A3036"/>
    <w:rsid w:val="007A3EE1"/>
    <w:rsid w:val="007A4AD4"/>
    <w:rsid w:val="007A5553"/>
    <w:rsid w:val="007A7FEA"/>
    <w:rsid w:val="007B0E86"/>
    <w:rsid w:val="007B322C"/>
    <w:rsid w:val="007B4803"/>
    <w:rsid w:val="007B74F4"/>
    <w:rsid w:val="007C3571"/>
    <w:rsid w:val="007C68D5"/>
    <w:rsid w:val="007C6FB0"/>
    <w:rsid w:val="007D0E18"/>
    <w:rsid w:val="007D13C9"/>
    <w:rsid w:val="007D218A"/>
    <w:rsid w:val="007E0109"/>
    <w:rsid w:val="007E0347"/>
    <w:rsid w:val="007E0A02"/>
    <w:rsid w:val="007E2270"/>
    <w:rsid w:val="007E2297"/>
    <w:rsid w:val="007E53C3"/>
    <w:rsid w:val="007F09D1"/>
    <w:rsid w:val="007F3255"/>
    <w:rsid w:val="007F3B2D"/>
    <w:rsid w:val="007F4E48"/>
    <w:rsid w:val="007F5CC3"/>
    <w:rsid w:val="007F6470"/>
    <w:rsid w:val="007F690E"/>
    <w:rsid w:val="007F7D35"/>
    <w:rsid w:val="008030BF"/>
    <w:rsid w:val="00803767"/>
    <w:rsid w:val="00804F29"/>
    <w:rsid w:val="00810D1C"/>
    <w:rsid w:val="008169BE"/>
    <w:rsid w:val="00817137"/>
    <w:rsid w:val="00820449"/>
    <w:rsid w:val="00820BC7"/>
    <w:rsid w:val="00820D8A"/>
    <w:rsid w:val="008222FE"/>
    <w:rsid w:val="008224F7"/>
    <w:rsid w:val="00822B41"/>
    <w:rsid w:val="00823044"/>
    <w:rsid w:val="00825355"/>
    <w:rsid w:val="00825C8A"/>
    <w:rsid w:val="0082708A"/>
    <w:rsid w:val="00831970"/>
    <w:rsid w:val="008329D7"/>
    <w:rsid w:val="00832A18"/>
    <w:rsid w:val="00832AD6"/>
    <w:rsid w:val="00832C2D"/>
    <w:rsid w:val="00833373"/>
    <w:rsid w:val="0083532A"/>
    <w:rsid w:val="00836870"/>
    <w:rsid w:val="0084160E"/>
    <w:rsid w:val="008425A7"/>
    <w:rsid w:val="008427D1"/>
    <w:rsid w:val="00842BF9"/>
    <w:rsid w:val="0084599B"/>
    <w:rsid w:val="008469F5"/>
    <w:rsid w:val="00847FCB"/>
    <w:rsid w:val="0085216B"/>
    <w:rsid w:val="008544D0"/>
    <w:rsid w:val="00855ACA"/>
    <w:rsid w:val="00856FE6"/>
    <w:rsid w:val="00857E02"/>
    <w:rsid w:val="008636EC"/>
    <w:rsid w:val="00864788"/>
    <w:rsid w:val="0086706A"/>
    <w:rsid w:val="00871411"/>
    <w:rsid w:val="00871EA9"/>
    <w:rsid w:val="00875C3A"/>
    <w:rsid w:val="00876448"/>
    <w:rsid w:val="00876A6C"/>
    <w:rsid w:val="00880608"/>
    <w:rsid w:val="00880AA2"/>
    <w:rsid w:val="00881278"/>
    <w:rsid w:val="0088163D"/>
    <w:rsid w:val="0088298D"/>
    <w:rsid w:val="00884FC8"/>
    <w:rsid w:val="008857DA"/>
    <w:rsid w:val="0088587C"/>
    <w:rsid w:val="0089294E"/>
    <w:rsid w:val="0089313E"/>
    <w:rsid w:val="008956AB"/>
    <w:rsid w:val="008A0239"/>
    <w:rsid w:val="008A10DE"/>
    <w:rsid w:val="008A18D9"/>
    <w:rsid w:val="008A3900"/>
    <w:rsid w:val="008A3F24"/>
    <w:rsid w:val="008A4333"/>
    <w:rsid w:val="008A43CD"/>
    <w:rsid w:val="008A440D"/>
    <w:rsid w:val="008A704E"/>
    <w:rsid w:val="008B1380"/>
    <w:rsid w:val="008B1AED"/>
    <w:rsid w:val="008B3687"/>
    <w:rsid w:val="008B3931"/>
    <w:rsid w:val="008B5B44"/>
    <w:rsid w:val="008B7F86"/>
    <w:rsid w:val="008C5439"/>
    <w:rsid w:val="008C61BC"/>
    <w:rsid w:val="008C68AA"/>
    <w:rsid w:val="008D095E"/>
    <w:rsid w:val="008D3C76"/>
    <w:rsid w:val="008D5229"/>
    <w:rsid w:val="008D6CA6"/>
    <w:rsid w:val="008D6FCB"/>
    <w:rsid w:val="008D76CF"/>
    <w:rsid w:val="008E1B1B"/>
    <w:rsid w:val="008E2BB6"/>
    <w:rsid w:val="008E2D2D"/>
    <w:rsid w:val="008E3BEA"/>
    <w:rsid w:val="008E4177"/>
    <w:rsid w:val="008E4AFC"/>
    <w:rsid w:val="008E56EF"/>
    <w:rsid w:val="008E676F"/>
    <w:rsid w:val="008E6D20"/>
    <w:rsid w:val="008F1E39"/>
    <w:rsid w:val="008F2158"/>
    <w:rsid w:val="008F3ED0"/>
    <w:rsid w:val="008F5720"/>
    <w:rsid w:val="008F7833"/>
    <w:rsid w:val="00900189"/>
    <w:rsid w:val="009020A8"/>
    <w:rsid w:val="00906F4B"/>
    <w:rsid w:val="00907455"/>
    <w:rsid w:val="0090748B"/>
    <w:rsid w:val="00907C5C"/>
    <w:rsid w:val="00912F3E"/>
    <w:rsid w:val="00913132"/>
    <w:rsid w:val="00913338"/>
    <w:rsid w:val="00914540"/>
    <w:rsid w:val="0091604D"/>
    <w:rsid w:val="00922AC7"/>
    <w:rsid w:val="00926D23"/>
    <w:rsid w:val="009321DE"/>
    <w:rsid w:val="0093244F"/>
    <w:rsid w:val="00933D10"/>
    <w:rsid w:val="00936D96"/>
    <w:rsid w:val="0093773B"/>
    <w:rsid w:val="00940791"/>
    <w:rsid w:val="009414F0"/>
    <w:rsid w:val="0094259F"/>
    <w:rsid w:val="00943D9B"/>
    <w:rsid w:val="009445C9"/>
    <w:rsid w:val="0094733B"/>
    <w:rsid w:val="009501AD"/>
    <w:rsid w:val="009513DA"/>
    <w:rsid w:val="0095166B"/>
    <w:rsid w:val="00953181"/>
    <w:rsid w:val="009577F4"/>
    <w:rsid w:val="009624D0"/>
    <w:rsid w:val="00964FCD"/>
    <w:rsid w:val="00967A20"/>
    <w:rsid w:val="00967C89"/>
    <w:rsid w:val="00967ED4"/>
    <w:rsid w:val="009719AD"/>
    <w:rsid w:val="00971FD8"/>
    <w:rsid w:val="00975AA4"/>
    <w:rsid w:val="00980044"/>
    <w:rsid w:val="00980BAD"/>
    <w:rsid w:val="009857A1"/>
    <w:rsid w:val="00985DB5"/>
    <w:rsid w:val="00990DF7"/>
    <w:rsid w:val="00992BA0"/>
    <w:rsid w:val="009944AC"/>
    <w:rsid w:val="009948C2"/>
    <w:rsid w:val="00994941"/>
    <w:rsid w:val="00996FD0"/>
    <w:rsid w:val="009971FE"/>
    <w:rsid w:val="009A12AF"/>
    <w:rsid w:val="009A557F"/>
    <w:rsid w:val="009B06F2"/>
    <w:rsid w:val="009B11E5"/>
    <w:rsid w:val="009B154B"/>
    <w:rsid w:val="009B1655"/>
    <w:rsid w:val="009B3CE7"/>
    <w:rsid w:val="009B473C"/>
    <w:rsid w:val="009B5829"/>
    <w:rsid w:val="009B59E7"/>
    <w:rsid w:val="009B63C2"/>
    <w:rsid w:val="009B65F7"/>
    <w:rsid w:val="009B6847"/>
    <w:rsid w:val="009C1BE7"/>
    <w:rsid w:val="009C34C1"/>
    <w:rsid w:val="009C5A25"/>
    <w:rsid w:val="009C7010"/>
    <w:rsid w:val="009C7D1C"/>
    <w:rsid w:val="009D08C0"/>
    <w:rsid w:val="009D7157"/>
    <w:rsid w:val="009D7433"/>
    <w:rsid w:val="009E0E70"/>
    <w:rsid w:val="009E239C"/>
    <w:rsid w:val="009E3B58"/>
    <w:rsid w:val="009E4010"/>
    <w:rsid w:val="009E6953"/>
    <w:rsid w:val="009E6B0A"/>
    <w:rsid w:val="009F751D"/>
    <w:rsid w:val="009F78EA"/>
    <w:rsid w:val="009F7ED7"/>
    <w:rsid w:val="00A0008F"/>
    <w:rsid w:val="00A0118B"/>
    <w:rsid w:val="00A0250F"/>
    <w:rsid w:val="00A10D5B"/>
    <w:rsid w:val="00A11F5E"/>
    <w:rsid w:val="00A143F9"/>
    <w:rsid w:val="00A15E39"/>
    <w:rsid w:val="00A16F17"/>
    <w:rsid w:val="00A1709F"/>
    <w:rsid w:val="00A179C1"/>
    <w:rsid w:val="00A207E7"/>
    <w:rsid w:val="00A2220F"/>
    <w:rsid w:val="00A22731"/>
    <w:rsid w:val="00A2423A"/>
    <w:rsid w:val="00A24266"/>
    <w:rsid w:val="00A242B7"/>
    <w:rsid w:val="00A24CB6"/>
    <w:rsid w:val="00A2518F"/>
    <w:rsid w:val="00A3053C"/>
    <w:rsid w:val="00A309F3"/>
    <w:rsid w:val="00A31216"/>
    <w:rsid w:val="00A33379"/>
    <w:rsid w:val="00A36A2F"/>
    <w:rsid w:val="00A41AD2"/>
    <w:rsid w:val="00A434EB"/>
    <w:rsid w:val="00A443A7"/>
    <w:rsid w:val="00A44955"/>
    <w:rsid w:val="00A45298"/>
    <w:rsid w:val="00A45A69"/>
    <w:rsid w:val="00A46921"/>
    <w:rsid w:val="00A50E09"/>
    <w:rsid w:val="00A51C9F"/>
    <w:rsid w:val="00A520A2"/>
    <w:rsid w:val="00A53315"/>
    <w:rsid w:val="00A55A3F"/>
    <w:rsid w:val="00A55BF0"/>
    <w:rsid w:val="00A562D5"/>
    <w:rsid w:val="00A60C93"/>
    <w:rsid w:val="00A61887"/>
    <w:rsid w:val="00A62790"/>
    <w:rsid w:val="00A63DCA"/>
    <w:rsid w:val="00A64730"/>
    <w:rsid w:val="00A6619B"/>
    <w:rsid w:val="00A6750B"/>
    <w:rsid w:val="00A70AF0"/>
    <w:rsid w:val="00A720CC"/>
    <w:rsid w:val="00A73466"/>
    <w:rsid w:val="00A808C8"/>
    <w:rsid w:val="00A815CC"/>
    <w:rsid w:val="00A816B8"/>
    <w:rsid w:val="00A827FE"/>
    <w:rsid w:val="00A837EB"/>
    <w:rsid w:val="00A86434"/>
    <w:rsid w:val="00A86690"/>
    <w:rsid w:val="00A90A09"/>
    <w:rsid w:val="00AA1794"/>
    <w:rsid w:val="00AA243F"/>
    <w:rsid w:val="00AA245A"/>
    <w:rsid w:val="00AA35CF"/>
    <w:rsid w:val="00AA3B95"/>
    <w:rsid w:val="00AA568A"/>
    <w:rsid w:val="00AB0C67"/>
    <w:rsid w:val="00AB12FA"/>
    <w:rsid w:val="00AB2F2F"/>
    <w:rsid w:val="00AB3155"/>
    <w:rsid w:val="00AB3D66"/>
    <w:rsid w:val="00AB405C"/>
    <w:rsid w:val="00AB45DB"/>
    <w:rsid w:val="00AB7215"/>
    <w:rsid w:val="00AC373B"/>
    <w:rsid w:val="00AC4865"/>
    <w:rsid w:val="00AC6DBF"/>
    <w:rsid w:val="00AC6EBE"/>
    <w:rsid w:val="00AC6EC1"/>
    <w:rsid w:val="00AD45B2"/>
    <w:rsid w:val="00AD546F"/>
    <w:rsid w:val="00AD5B1F"/>
    <w:rsid w:val="00AE074D"/>
    <w:rsid w:val="00AE2EC7"/>
    <w:rsid w:val="00AE2F3A"/>
    <w:rsid w:val="00AE3BEB"/>
    <w:rsid w:val="00AE4D88"/>
    <w:rsid w:val="00AE52DA"/>
    <w:rsid w:val="00AE5894"/>
    <w:rsid w:val="00AF2200"/>
    <w:rsid w:val="00AF3CF3"/>
    <w:rsid w:val="00AF3D61"/>
    <w:rsid w:val="00AF55DE"/>
    <w:rsid w:val="00AF7260"/>
    <w:rsid w:val="00B0019D"/>
    <w:rsid w:val="00B00323"/>
    <w:rsid w:val="00B01BE5"/>
    <w:rsid w:val="00B027A8"/>
    <w:rsid w:val="00B04E99"/>
    <w:rsid w:val="00B077F9"/>
    <w:rsid w:val="00B11EB1"/>
    <w:rsid w:val="00B140D6"/>
    <w:rsid w:val="00B155C5"/>
    <w:rsid w:val="00B20102"/>
    <w:rsid w:val="00B21CBB"/>
    <w:rsid w:val="00B220F0"/>
    <w:rsid w:val="00B229C4"/>
    <w:rsid w:val="00B23BCF"/>
    <w:rsid w:val="00B264E9"/>
    <w:rsid w:val="00B27248"/>
    <w:rsid w:val="00B27D70"/>
    <w:rsid w:val="00B31871"/>
    <w:rsid w:val="00B32560"/>
    <w:rsid w:val="00B33D48"/>
    <w:rsid w:val="00B432DB"/>
    <w:rsid w:val="00B437D9"/>
    <w:rsid w:val="00B4565F"/>
    <w:rsid w:val="00B457BE"/>
    <w:rsid w:val="00B52789"/>
    <w:rsid w:val="00B537CB"/>
    <w:rsid w:val="00B54426"/>
    <w:rsid w:val="00B55AA3"/>
    <w:rsid w:val="00B561A3"/>
    <w:rsid w:val="00B56BEE"/>
    <w:rsid w:val="00B602F7"/>
    <w:rsid w:val="00B6220A"/>
    <w:rsid w:val="00B630EC"/>
    <w:rsid w:val="00B63CDA"/>
    <w:rsid w:val="00B65740"/>
    <w:rsid w:val="00B6688D"/>
    <w:rsid w:val="00B66A86"/>
    <w:rsid w:val="00B71924"/>
    <w:rsid w:val="00B73CAC"/>
    <w:rsid w:val="00B7521B"/>
    <w:rsid w:val="00B76174"/>
    <w:rsid w:val="00B77005"/>
    <w:rsid w:val="00B7738D"/>
    <w:rsid w:val="00B80FBC"/>
    <w:rsid w:val="00B81983"/>
    <w:rsid w:val="00B81F06"/>
    <w:rsid w:val="00B82885"/>
    <w:rsid w:val="00B84A7B"/>
    <w:rsid w:val="00B8540E"/>
    <w:rsid w:val="00B9038E"/>
    <w:rsid w:val="00B90D50"/>
    <w:rsid w:val="00B9113C"/>
    <w:rsid w:val="00B937BF"/>
    <w:rsid w:val="00B94D78"/>
    <w:rsid w:val="00B95DEE"/>
    <w:rsid w:val="00B9720D"/>
    <w:rsid w:val="00BA08F7"/>
    <w:rsid w:val="00BA4A52"/>
    <w:rsid w:val="00BA5DEA"/>
    <w:rsid w:val="00BA6346"/>
    <w:rsid w:val="00BA69D0"/>
    <w:rsid w:val="00BB181E"/>
    <w:rsid w:val="00BB2932"/>
    <w:rsid w:val="00BB3FB1"/>
    <w:rsid w:val="00BB459A"/>
    <w:rsid w:val="00BB54CD"/>
    <w:rsid w:val="00BB57FE"/>
    <w:rsid w:val="00BB586A"/>
    <w:rsid w:val="00BB671D"/>
    <w:rsid w:val="00BB6F83"/>
    <w:rsid w:val="00BB7118"/>
    <w:rsid w:val="00BC167D"/>
    <w:rsid w:val="00BC1FB5"/>
    <w:rsid w:val="00BC35A5"/>
    <w:rsid w:val="00BC3C00"/>
    <w:rsid w:val="00BC4FB2"/>
    <w:rsid w:val="00BC7F3C"/>
    <w:rsid w:val="00BD140E"/>
    <w:rsid w:val="00BD14B0"/>
    <w:rsid w:val="00BD6606"/>
    <w:rsid w:val="00BE01D6"/>
    <w:rsid w:val="00BE037D"/>
    <w:rsid w:val="00BE0F9B"/>
    <w:rsid w:val="00BE2364"/>
    <w:rsid w:val="00BE61AC"/>
    <w:rsid w:val="00BE620E"/>
    <w:rsid w:val="00BE7117"/>
    <w:rsid w:val="00BF1905"/>
    <w:rsid w:val="00BF1C4C"/>
    <w:rsid w:val="00BF2B7D"/>
    <w:rsid w:val="00BF2C00"/>
    <w:rsid w:val="00BF4371"/>
    <w:rsid w:val="00BF4511"/>
    <w:rsid w:val="00C0363A"/>
    <w:rsid w:val="00C03F90"/>
    <w:rsid w:val="00C064EC"/>
    <w:rsid w:val="00C06A6B"/>
    <w:rsid w:val="00C07414"/>
    <w:rsid w:val="00C12EE4"/>
    <w:rsid w:val="00C13EDE"/>
    <w:rsid w:val="00C1417B"/>
    <w:rsid w:val="00C201C6"/>
    <w:rsid w:val="00C20CAF"/>
    <w:rsid w:val="00C2153F"/>
    <w:rsid w:val="00C218DB"/>
    <w:rsid w:val="00C21E70"/>
    <w:rsid w:val="00C24412"/>
    <w:rsid w:val="00C24F3B"/>
    <w:rsid w:val="00C27051"/>
    <w:rsid w:val="00C277A4"/>
    <w:rsid w:val="00C27925"/>
    <w:rsid w:val="00C30046"/>
    <w:rsid w:val="00C30277"/>
    <w:rsid w:val="00C30401"/>
    <w:rsid w:val="00C3068F"/>
    <w:rsid w:val="00C30779"/>
    <w:rsid w:val="00C342A1"/>
    <w:rsid w:val="00C35568"/>
    <w:rsid w:val="00C36D8A"/>
    <w:rsid w:val="00C40E57"/>
    <w:rsid w:val="00C456C9"/>
    <w:rsid w:val="00C518B0"/>
    <w:rsid w:val="00C51F94"/>
    <w:rsid w:val="00C5288C"/>
    <w:rsid w:val="00C52C92"/>
    <w:rsid w:val="00C53845"/>
    <w:rsid w:val="00C53BB9"/>
    <w:rsid w:val="00C5463E"/>
    <w:rsid w:val="00C54770"/>
    <w:rsid w:val="00C571E7"/>
    <w:rsid w:val="00C57D46"/>
    <w:rsid w:val="00C60724"/>
    <w:rsid w:val="00C6285E"/>
    <w:rsid w:val="00C63850"/>
    <w:rsid w:val="00C64193"/>
    <w:rsid w:val="00C65C1F"/>
    <w:rsid w:val="00C6684E"/>
    <w:rsid w:val="00C66BA2"/>
    <w:rsid w:val="00C66CFB"/>
    <w:rsid w:val="00C66FDE"/>
    <w:rsid w:val="00C67DF9"/>
    <w:rsid w:val="00C67E20"/>
    <w:rsid w:val="00C71ADC"/>
    <w:rsid w:val="00C71D02"/>
    <w:rsid w:val="00C73190"/>
    <w:rsid w:val="00C73C0D"/>
    <w:rsid w:val="00C751E3"/>
    <w:rsid w:val="00C756C5"/>
    <w:rsid w:val="00C76717"/>
    <w:rsid w:val="00C80FB9"/>
    <w:rsid w:val="00C84CED"/>
    <w:rsid w:val="00C86BA5"/>
    <w:rsid w:val="00C90169"/>
    <w:rsid w:val="00C91187"/>
    <w:rsid w:val="00C92BFA"/>
    <w:rsid w:val="00C94B79"/>
    <w:rsid w:val="00C94EED"/>
    <w:rsid w:val="00C96C18"/>
    <w:rsid w:val="00CA4E97"/>
    <w:rsid w:val="00CA7D82"/>
    <w:rsid w:val="00CB0323"/>
    <w:rsid w:val="00CB1AAB"/>
    <w:rsid w:val="00CB3D4A"/>
    <w:rsid w:val="00CB4CAF"/>
    <w:rsid w:val="00CC095F"/>
    <w:rsid w:val="00CC09D3"/>
    <w:rsid w:val="00CC1A41"/>
    <w:rsid w:val="00CC1A59"/>
    <w:rsid w:val="00CC3566"/>
    <w:rsid w:val="00CC7E62"/>
    <w:rsid w:val="00CD1518"/>
    <w:rsid w:val="00CD212D"/>
    <w:rsid w:val="00CD3197"/>
    <w:rsid w:val="00CD5B27"/>
    <w:rsid w:val="00CE0A13"/>
    <w:rsid w:val="00CE0B54"/>
    <w:rsid w:val="00CE317E"/>
    <w:rsid w:val="00CE3473"/>
    <w:rsid w:val="00CE3509"/>
    <w:rsid w:val="00CE39B1"/>
    <w:rsid w:val="00CE4EF1"/>
    <w:rsid w:val="00CE697B"/>
    <w:rsid w:val="00CE6CBF"/>
    <w:rsid w:val="00CE7042"/>
    <w:rsid w:val="00CF16C4"/>
    <w:rsid w:val="00CF21EF"/>
    <w:rsid w:val="00CF3A0A"/>
    <w:rsid w:val="00CF406B"/>
    <w:rsid w:val="00CF7E8D"/>
    <w:rsid w:val="00D00AB3"/>
    <w:rsid w:val="00D00C7D"/>
    <w:rsid w:val="00D0206E"/>
    <w:rsid w:val="00D029F9"/>
    <w:rsid w:val="00D058CC"/>
    <w:rsid w:val="00D06281"/>
    <w:rsid w:val="00D0665B"/>
    <w:rsid w:val="00D06A31"/>
    <w:rsid w:val="00D07980"/>
    <w:rsid w:val="00D113A4"/>
    <w:rsid w:val="00D1150C"/>
    <w:rsid w:val="00D11DD8"/>
    <w:rsid w:val="00D12EE8"/>
    <w:rsid w:val="00D14D42"/>
    <w:rsid w:val="00D17EAC"/>
    <w:rsid w:val="00D20B7E"/>
    <w:rsid w:val="00D2116C"/>
    <w:rsid w:val="00D21E13"/>
    <w:rsid w:val="00D229DF"/>
    <w:rsid w:val="00D237EE"/>
    <w:rsid w:val="00D25E54"/>
    <w:rsid w:val="00D267BA"/>
    <w:rsid w:val="00D26FD2"/>
    <w:rsid w:val="00D275F5"/>
    <w:rsid w:val="00D27667"/>
    <w:rsid w:val="00D278F6"/>
    <w:rsid w:val="00D3419C"/>
    <w:rsid w:val="00D34C08"/>
    <w:rsid w:val="00D34D7A"/>
    <w:rsid w:val="00D350DD"/>
    <w:rsid w:val="00D35AD1"/>
    <w:rsid w:val="00D37D23"/>
    <w:rsid w:val="00D449A3"/>
    <w:rsid w:val="00D457E3"/>
    <w:rsid w:val="00D46B72"/>
    <w:rsid w:val="00D475DA"/>
    <w:rsid w:val="00D47A37"/>
    <w:rsid w:val="00D47CAE"/>
    <w:rsid w:val="00D50AC1"/>
    <w:rsid w:val="00D52FEA"/>
    <w:rsid w:val="00D53ADD"/>
    <w:rsid w:val="00D54248"/>
    <w:rsid w:val="00D56F7A"/>
    <w:rsid w:val="00D60823"/>
    <w:rsid w:val="00D60BD1"/>
    <w:rsid w:val="00D62349"/>
    <w:rsid w:val="00D62473"/>
    <w:rsid w:val="00D636B6"/>
    <w:rsid w:val="00D65993"/>
    <w:rsid w:val="00D67143"/>
    <w:rsid w:val="00D6734F"/>
    <w:rsid w:val="00D6744A"/>
    <w:rsid w:val="00D67B48"/>
    <w:rsid w:val="00D67FF3"/>
    <w:rsid w:val="00D73403"/>
    <w:rsid w:val="00D734E5"/>
    <w:rsid w:val="00D73A50"/>
    <w:rsid w:val="00D7431A"/>
    <w:rsid w:val="00D75386"/>
    <w:rsid w:val="00D75B9D"/>
    <w:rsid w:val="00D818A7"/>
    <w:rsid w:val="00D83647"/>
    <w:rsid w:val="00D863B4"/>
    <w:rsid w:val="00D8665A"/>
    <w:rsid w:val="00D86DF6"/>
    <w:rsid w:val="00D879E7"/>
    <w:rsid w:val="00D90250"/>
    <w:rsid w:val="00D90A90"/>
    <w:rsid w:val="00D91664"/>
    <w:rsid w:val="00D91876"/>
    <w:rsid w:val="00D91909"/>
    <w:rsid w:val="00D93069"/>
    <w:rsid w:val="00D934FF"/>
    <w:rsid w:val="00D94553"/>
    <w:rsid w:val="00D95EE9"/>
    <w:rsid w:val="00DA0172"/>
    <w:rsid w:val="00DA1236"/>
    <w:rsid w:val="00DA30C7"/>
    <w:rsid w:val="00DA3B89"/>
    <w:rsid w:val="00DA46CA"/>
    <w:rsid w:val="00DA7698"/>
    <w:rsid w:val="00DA7D13"/>
    <w:rsid w:val="00DB0D1B"/>
    <w:rsid w:val="00DB0EEF"/>
    <w:rsid w:val="00DB155A"/>
    <w:rsid w:val="00DB1E45"/>
    <w:rsid w:val="00DB1F84"/>
    <w:rsid w:val="00DB2AC5"/>
    <w:rsid w:val="00DB375E"/>
    <w:rsid w:val="00DB3953"/>
    <w:rsid w:val="00DB3BE7"/>
    <w:rsid w:val="00DB50E8"/>
    <w:rsid w:val="00DB7A33"/>
    <w:rsid w:val="00DC451A"/>
    <w:rsid w:val="00DC48A5"/>
    <w:rsid w:val="00DC544C"/>
    <w:rsid w:val="00DD0257"/>
    <w:rsid w:val="00DD163A"/>
    <w:rsid w:val="00DD1A84"/>
    <w:rsid w:val="00DD3B50"/>
    <w:rsid w:val="00DD543A"/>
    <w:rsid w:val="00DD6A08"/>
    <w:rsid w:val="00DD6A98"/>
    <w:rsid w:val="00DD6E91"/>
    <w:rsid w:val="00DD7399"/>
    <w:rsid w:val="00DE0301"/>
    <w:rsid w:val="00DE1DAD"/>
    <w:rsid w:val="00DE612A"/>
    <w:rsid w:val="00DE6ACC"/>
    <w:rsid w:val="00DF05A6"/>
    <w:rsid w:val="00DF1852"/>
    <w:rsid w:val="00DF4FFA"/>
    <w:rsid w:val="00DF5859"/>
    <w:rsid w:val="00DF6C45"/>
    <w:rsid w:val="00E0000C"/>
    <w:rsid w:val="00E0188F"/>
    <w:rsid w:val="00E02C0D"/>
    <w:rsid w:val="00E03869"/>
    <w:rsid w:val="00E03ADE"/>
    <w:rsid w:val="00E044F5"/>
    <w:rsid w:val="00E05FD2"/>
    <w:rsid w:val="00E07EF3"/>
    <w:rsid w:val="00E10329"/>
    <w:rsid w:val="00E10836"/>
    <w:rsid w:val="00E108FA"/>
    <w:rsid w:val="00E108FE"/>
    <w:rsid w:val="00E11B62"/>
    <w:rsid w:val="00E1369B"/>
    <w:rsid w:val="00E15D91"/>
    <w:rsid w:val="00E21C4C"/>
    <w:rsid w:val="00E23C8D"/>
    <w:rsid w:val="00E25554"/>
    <w:rsid w:val="00E270D7"/>
    <w:rsid w:val="00E323F5"/>
    <w:rsid w:val="00E32F4E"/>
    <w:rsid w:val="00E33973"/>
    <w:rsid w:val="00E33C08"/>
    <w:rsid w:val="00E375EB"/>
    <w:rsid w:val="00E414D8"/>
    <w:rsid w:val="00E4243A"/>
    <w:rsid w:val="00E46CB9"/>
    <w:rsid w:val="00E53C7C"/>
    <w:rsid w:val="00E53F85"/>
    <w:rsid w:val="00E55C72"/>
    <w:rsid w:val="00E567B3"/>
    <w:rsid w:val="00E625D7"/>
    <w:rsid w:val="00E63F6B"/>
    <w:rsid w:val="00E64DF3"/>
    <w:rsid w:val="00E7021A"/>
    <w:rsid w:val="00E70731"/>
    <w:rsid w:val="00E73E69"/>
    <w:rsid w:val="00E76751"/>
    <w:rsid w:val="00E77E2E"/>
    <w:rsid w:val="00E81427"/>
    <w:rsid w:val="00E823EB"/>
    <w:rsid w:val="00E83346"/>
    <w:rsid w:val="00E84CDE"/>
    <w:rsid w:val="00E84CDF"/>
    <w:rsid w:val="00E85D98"/>
    <w:rsid w:val="00E87CBA"/>
    <w:rsid w:val="00E93B4B"/>
    <w:rsid w:val="00EA47A5"/>
    <w:rsid w:val="00EA4A35"/>
    <w:rsid w:val="00EA6599"/>
    <w:rsid w:val="00EA74F0"/>
    <w:rsid w:val="00EB0D8F"/>
    <w:rsid w:val="00EB34C3"/>
    <w:rsid w:val="00EB58FB"/>
    <w:rsid w:val="00EC282C"/>
    <w:rsid w:val="00EC2F5A"/>
    <w:rsid w:val="00EC35C7"/>
    <w:rsid w:val="00EC48D2"/>
    <w:rsid w:val="00EC5168"/>
    <w:rsid w:val="00EC5566"/>
    <w:rsid w:val="00EC7C10"/>
    <w:rsid w:val="00ED05F1"/>
    <w:rsid w:val="00ED15D4"/>
    <w:rsid w:val="00ED1644"/>
    <w:rsid w:val="00ED2738"/>
    <w:rsid w:val="00ED2C78"/>
    <w:rsid w:val="00ED3C7C"/>
    <w:rsid w:val="00ED5CD6"/>
    <w:rsid w:val="00EE0FEB"/>
    <w:rsid w:val="00EE2D00"/>
    <w:rsid w:val="00EE3B88"/>
    <w:rsid w:val="00EF1F89"/>
    <w:rsid w:val="00EF28AE"/>
    <w:rsid w:val="00EF2942"/>
    <w:rsid w:val="00EF2A1A"/>
    <w:rsid w:val="00EF352B"/>
    <w:rsid w:val="00EF4585"/>
    <w:rsid w:val="00F027D5"/>
    <w:rsid w:val="00F03DEA"/>
    <w:rsid w:val="00F04465"/>
    <w:rsid w:val="00F046E7"/>
    <w:rsid w:val="00F05716"/>
    <w:rsid w:val="00F11496"/>
    <w:rsid w:val="00F119F4"/>
    <w:rsid w:val="00F11B8D"/>
    <w:rsid w:val="00F133EF"/>
    <w:rsid w:val="00F140C3"/>
    <w:rsid w:val="00F14916"/>
    <w:rsid w:val="00F169FC"/>
    <w:rsid w:val="00F17632"/>
    <w:rsid w:val="00F177FA"/>
    <w:rsid w:val="00F22653"/>
    <w:rsid w:val="00F24ECD"/>
    <w:rsid w:val="00F253DF"/>
    <w:rsid w:val="00F27F9F"/>
    <w:rsid w:val="00F31A78"/>
    <w:rsid w:val="00F46786"/>
    <w:rsid w:val="00F513F9"/>
    <w:rsid w:val="00F527A9"/>
    <w:rsid w:val="00F55607"/>
    <w:rsid w:val="00F55A84"/>
    <w:rsid w:val="00F57FF8"/>
    <w:rsid w:val="00F61874"/>
    <w:rsid w:val="00F61D6B"/>
    <w:rsid w:val="00F63747"/>
    <w:rsid w:val="00F64B81"/>
    <w:rsid w:val="00F7092A"/>
    <w:rsid w:val="00F74B15"/>
    <w:rsid w:val="00F74D81"/>
    <w:rsid w:val="00F75557"/>
    <w:rsid w:val="00F75C75"/>
    <w:rsid w:val="00F76E24"/>
    <w:rsid w:val="00F77726"/>
    <w:rsid w:val="00F81565"/>
    <w:rsid w:val="00F82085"/>
    <w:rsid w:val="00F82442"/>
    <w:rsid w:val="00F82B33"/>
    <w:rsid w:val="00F8351A"/>
    <w:rsid w:val="00F86947"/>
    <w:rsid w:val="00F910A7"/>
    <w:rsid w:val="00F91660"/>
    <w:rsid w:val="00F926D0"/>
    <w:rsid w:val="00F9280D"/>
    <w:rsid w:val="00F9332B"/>
    <w:rsid w:val="00F95555"/>
    <w:rsid w:val="00F95CC7"/>
    <w:rsid w:val="00F97DBE"/>
    <w:rsid w:val="00FA103E"/>
    <w:rsid w:val="00FA193A"/>
    <w:rsid w:val="00FA48E3"/>
    <w:rsid w:val="00FA58E3"/>
    <w:rsid w:val="00FA5C32"/>
    <w:rsid w:val="00FA6B23"/>
    <w:rsid w:val="00FA70D2"/>
    <w:rsid w:val="00FB02C2"/>
    <w:rsid w:val="00FB1E8D"/>
    <w:rsid w:val="00FB22B2"/>
    <w:rsid w:val="00FB2B54"/>
    <w:rsid w:val="00FB2E0A"/>
    <w:rsid w:val="00FB3C6D"/>
    <w:rsid w:val="00FB5AF3"/>
    <w:rsid w:val="00FB64C8"/>
    <w:rsid w:val="00FB764B"/>
    <w:rsid w:val="00FC5635"/>
    <w:rsid w:val="00FC587D"/>
    <w:rsid w:val="00FC6C54"/>
    <w:rsid w:val="00FC6F86"/>
    <w:rsid w:val="00FC7C16"/>
    <w:rsid w:val="00FD0EE5"/>
    <w:rsid w:val="00FD2AFB"/>
    <w:rsid w:val="00FD3940"/>
    <w:rsid w:val="00FD3FE3"/>
    <w:rsid w:val="00FD6C83"/>
    <w:rsid w:val="00FE3450"/>
    <w:rsid w:val="00FE3968"/>
    <w:rsid w:val="00FE39E5"/>
    <w:rsid w:val="00FE3C67"/>
    <w:rsid w:val="00FE50FC"/>
    <w:rsid w:val="00FE611E"/>
    <w:rsid w:val="00FE64CB"/>
    <w:rsid w:val="00FE6AD1"/>
    <w:rsid w:val="00FE792D"/>
    <w:rsid w:val="00FF1106"/>
    <w:rsid w:val="00FF2AAD"/>
    <w:rsid w:val="00FF5D03"/>
    <w:rsid w:val="3CC473A0"/>
    <w:rsid w:val="5B41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nhideWhenUsed="0" w:uiPriority="0" w:semiHidden="0" w:name="footnote text"/>
    <w:lsdException w:uiPriority="99" w:semiHidden="0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="Calibri" w:hAnsi="Calibri" w:eastAsia="Times New Roman" w:cs="Calibri"/>
      <w:kern w:val="2"/>
      <w:sz w:val="22"/>
      <w:szCs w:val="22"/>
      <w:lang w:val="ru-RU" w:eastAsia="zh-CN" w:bidi="ar-SA"/>
    </w:rPr>
  </w:style>
  <w:style w:type="paragraph" w:styleId="2">
    <w:name w:val="heading 2"/>
    <w:basedOn w:val="1"/>
    <w:link w:val="129"/>
    <w:qFormat/>
    <w:uiPriority w:val="9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kern w:val="0"/>
      <w:sz w:val="36"/>
      <w:szCs w:val="36"/>
      <w:lang w:eastAsia="ru-RU"/>
    </w:rPr>
  </w:style>
  <w:style w:type="paragraph" w:styleId="3">
    <w:name w:val="heading 3"/>
    <w:basedOn w:val="1"/>
    <w:link w:val="130"/>
    <w:qFormat/>
    <w:uiPriority w:val="9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kern w:val="0"/>
      <w:sz w:val="27"/>
      <w:szCs w:val="27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otnote reference"/>
    <w:semiHidden/>
    <w:unhideWhenUsed/>
    <w:qFormat/>
    <w:uiPriority w:val="99"/>
    <w:rPr>
      <w:vertAlign w:val="superscript"/>
    </w:rPr>
  </w:style>
  <w:style w:type="character" w:styleId="7">
    <w:name w:val="annotation reference"/>
    <w:semiHidden/>
    <w:unhideWhenUsed/>
    <w:qFormat/>
    <w:uiPriority w:val="99"/>
    <w:rPr>
      <w:sz w:val="16"/>
      <w:szCs w:val="16"/>
    </w:rPr>
  </w:style>
  <w:style w:type="character" w:styleId="8">
    <w:name w:val="endnote reference"/>
    <w:basedOn w:val="4"/>
    <w:semiHidden/>
    <w:unhideWhenUsed/>
    <w:qFormat/>
    <w:uiPriority w:val="99"/>
    <w:rPr>
      <w:vertAlign w:val="superscript"/>
    </w:rPr>
  </w:style>
  <w:style w:type="character" w:styleId="9">
    <w:name w:val="Hyperlink"/>
    <w:qFormat/>
    <w:uiPriority w:val="0"/>
    <w:rPr>
      <w:rFonts w:cs="Times New Roman"/>
      <w:color w:val="0000FF"/>
      <w:u w:val="single"/>
    </w:rPr>
  </w:style>
  <w:style w:type="character" w:styleId="10">
    <w:name w:val="page number"/>
    <w:basedOn w:val="4"/>
    <w:qFormat/>
    <w:uiPriority w:val="0"/>
  </w:style>
  <w:style w:type="character" w:styleId="11">
    <w:name w:val="Strong"/>
    <w:qFormat/>
    <w:uiPriority w:val="0"/>
    <w:rPr>
      <w:rFonts w:cs="Times New Roman"/>
      <w:b/>
      <w:bCs/>
    </w:rPr>
  </w:style>
  <w:style w:type="paragraph" w:styleId="12">
    <w:name w:val="Balloon Text"/>
    <w:basedOn w:val="1"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endnote text"/>
    <w:basedOn w:val="1"/>
    <w:link w:val="124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4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5">
    <w:name w:val="annotation text"/>
    <w:basedOn w:val="1"/>
    <w:link w:val="121"/>
    <w:unhideWhenUsed/>
    <w:uiPriority w:val="99"/>
    <w:rPr>
      <w:sz w:val="20"/>
      <w:szCs w:val="20"/>
    </w:rPr>
  </w:style>
  <w:style w:type="paragraph" w:styleId="16">
    <w:name w:val="annotation subject"/>
    <w:basedOn w:val="17"/>
    <w:next w:val="17"/>
    <w:uiPriority w:val="0"/>
    <w:rPr>
      <w:b/>
      <w:bCs/>
    </w:rPr>
  </w:style>
  <w:style w:type="paragraph" w:customStyle="1" w:styleId="17">
    <w:name w:val="Текст примечания1"/>
    <w:basedOn w:val="1"/>
    <w:qFormat/>
    <w:uiPriority w:val="0"/>
    <w:rPr>
      <w:sz w:val="20"/>
      <w:szCs w:val="20"/>
    </w:rPr>
  </w:style>
  <w:style w:type="paragraph" w:styleId="18">
    <w:name w:val="footnote text"/>
    <w:basedOn w:val="1"/>
    <w:uiPriority w:val="0"/>
    <w:pPr>
      <w:suppressAutoHyphens w:val="0"/>
      <w:spacing w:after="0" w:line="240" w:lineRule="auto"/>
    </w:pPr>
    <w:rPr>
      <w:rFonts w:ascii="Times New Roman" w:hAnsi="Times New Roman" w:cs="Times New Roman"/>
      <w:kern w:val="0"/>
      <w:sz w:val="20"/>
      <w:szCs w:val="20"/>
    </w:rPr>
  </w:style>
  <w:style w:type="paragraph" w:styleId="19">
    <w:name w:val="header"/>
    <w:basedOn w:val="1"/>
    <w:uiPriority w:val="0"/>
  </w:style>
  <w:style w:type="paragraph" w:styleId="20">
    <w:name w:val="Body Text"/>
    <w:basedOn w:val="1"/>
    <w:link w:val="120"/>
    <w:qFormat/>
    <w:uiPriority w:val="0"/>
    <w:pPr>
      <w:widowControl w:val="0"/>
      <w:spacing w:after="120"/>
    </w:pPr>
    <w:rPr>
      <w:rFonts w:ascii="Verdana" w:hAnsi="Verdana" w:cs="Verdana"/>
      <w:sz w:val="20"/>
      <w:szCs w:val="20"/>
    </w:rPr>
  </w:style>
  <w:style w:type="paragraph" w:styleId="21">
    <w:name w:val="footer"/>
    <w:basedOn w:val="1"/>
    <w:uiPriority w:val="99"/>
  </w:style>
  <w:style w:type="paragraph" w:styleId="22">
    <w:name w:val="List"/>
    <w:basedOn w:val="20"/>
    <w:qFormat/>
    <w:uiPriority w:val="0"/>
    <w:rPr>
      <w:rFonts w:cs="Mangal"/>
    </w:rPr>
  </w:style>
  <w:style w:type="table" w:styleId="23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4">
    <w:name w:val="WW8Num1z0"/>
    <w:uiPriority w:val="0"/>
    <w:rPr>
      <w:rFonts w:cs="Times New Roman"/>
    </w:rPr>
  </w:style>
  <w:style w:type="character" w:customStyle="1" w:styleId="25">
    <w:name w:val="WW8Num1z1"/>
    <w:qFormat/>
    <w:uiPriority w:val="0"/>
    <w:rPr>
      <w:rFonts w:ascii="Arial" w:hAnsi="Arial" w:cs="Times New Roman"/>
      <w:b/>
      <w:sz w:val="24"/>
    </w:rPr>
  </w:style>
  <w:style w:type="character" w:customStyle="1" w:styleId="26">
    <w:name w:val="WW8Num2z0"/>
    <w:uiPriority w:val="0"/>
    <w:rPr>
      <w:rFonts w:cs="Times New Roman"/>
    </w:rPr>
  </w:style>
  <w:style w:type="character" w:customStyle="1" w:styleId="27">
    <w:name w:val="WW8Num3z0"/>
    <w:uiPriority w:val="0"/>
    <w:rPr>
      <w:rFonts w:hint="default"/>
    </w:rPr>
  </w:style>
  <w:style w:type="character" w:customStyle="1" w:styleId="28">
    <w:name w:val="WW8Num3z1"/>
    <w:qFormat/>
    <w:uiPriority w:val="0"/>
  </w:style>
  <w:style w:type="character" w:customStyle="1" w:styleId="29">
    <w:name w:val="WW8Num3z2"/>
    <w:uiPriority w:val="0"/>
  </w:style>
  <w:style w:type="character" w:customStyle="1" w:styleId="30">
    <w:name w:val="WW8Num3z3"/>
    <w:uiPriority w:val="0"/>
  </w:style>
  <w:style w:type="character" w:customStyle="1" w:styleId="31">
    <w:name w:val="WW8Num3z4"/>
    <w:uiPriority w:val="0"/>
  </w:style>
  <w:style w:type="character" w:customStyle="1" w:styleId="32">
    <w:name w:val="WW8Num3z5"/>
    <w:uiPriority w:val="0"/>
  </w:style>
  <w:style w:type="character" w:customStyle="1" w:styleId="33">
    <w:name w:val="WW8Num3z6"/>
    <w:uiPriority w:val="0"/>
  </w:style>
  <w:style w:type="character" w:customStyle="1" w:styleId="34">
    <w:name w:val="WW8Num3z7"/>
    <w:qFormat/>
    <w:uiPriority w:val="0"/>
  </w:style>
  <w:style w:type="character" w:customStyle="1" w:styleId="35">
    <w:name w:val="WW8Num3z8"/>
    <w:qFormat/>
    <w:uiPriority w:val="0"/>
  </w:style>
  <w:style w:type="character" w:customStyle="1" w:styleId="36">
    <w:name w:val="WW8Num4z0"/>
    <w:qFormat/>
    <w:uiPriority w:val="0"/>
    <w:rPr>
      <w:rFonts w:hint="default"/>
    </w:rPr>
  </w:style>
  <w:style w:type="character" w:customStyle="1" w:styleId="37">
    <w:name w:val="WW8Num4z1"/>
    <w:qFormat/>
    <w:uiPriority w:val="0"/>
  </w:style>
  <w:style w:type="character" w:customStyle="1" w:styleId="38">
    <w:name w:val="WW8Num4z2"/>
    <w:qFormat/>
    <w:uiPriority w:val="0"/>
  </w:style>
  <w:style w:type="character" w:customStyle="1" w:styleId="39">
    <w:name w:val="WW8Num4z3"/>
    <w:qFormat/>
    <w:uiPriority w:val="0"/>
  </w:style>
  <w:style w:type="character" w:customStyle="1" w:styleId="40">
    <w:name w:val="WW8Num4z4"/>
    <w:qFormat/>
    <w:uiPriority w:val="0"/>
  </w:style>
  <w:style w:type="character" w:customStyle="1" w:styleId="41">
    <w:name w:val="WW8Num4z5"/>
    <w:qFormat/>
    <w:uiPriority w:val="0"/>
  </w:style>
  <w:style w:type="character" w:customStyle="1" w:styleId="42">
    <w:name w:val="WW8Num4z6"/>
    <w:qFormat/>
    <w:uiPriority w:val="0"/>
  </w:style>
  <w:style w:type="character" w:customStyle="1" w:styleId="43">
    <w:name w:val="WW8Num4z7"/>
    <w:qFormat/>
    <w:uiPriority w:val="0"/>
  </w:style>
  <w:style w:type="character" w:customStyle="1" w:styleId="44">
    <w:name w:val="WW8Num4z8"/>
    <w:qFormat/>
    <w:uiPriority w:val="0"/>
  </w:style>
  <w:style w:type="character" w:customStyle="1" w:styleId="45">
    <w:name w:val="Основной шрифт абзаца2"/>
    <w:qFormat/>
    <w:uiPriority w:val="0"/>
  </w:style>
  <w:style w:type="character" w:customStyle="1" w:styleId="46">
    <w:name w:val="Основной шрифт абзаца1"/>
    <w:qFormat/>
    <w:uiPriority w:val="0"/>
  </w:style>
  <w:style w:type="character" w:customStyle="1" w:styleId="47">
    <w:name w:val="DO_NOT_TRANSLATE"/>
    <w:qFormat/>
    <w:uiPriority w:val="0"/>
    <w:rPr>
      <w:rFonts w:ascii="Courier New" w:hAnsi="Courier New" w:cs="Courier New"/>
      <w:color w:val="800000"/>
      <w:lang w:val="ru-RU"/>
    </w:rPr>
  </w:style>
  <w:style w:type="character" w:customStyle="1" w:styleId="48">
    <w:name w:val="Номер страницы1"/>
    <w:qFormat/>
    <w:uiPriority w:val="0"/>
    <w:rPr>
      <w:rFonts w:cs="Times New Roman"/>
    </w:rPr>
  </w:style>
  <w:style w:type="character" w:customStyle="1" w:styleId="49">
    <w:name w:val="match"/>
    <w:qFormat/>
    <w:uiPriority w:val="0"/>
    <w:rPr>
      <w:rFonts w:cs="Times New Roman"/>
    </w:rPr>
  </w:style>
  <w:style w:type="character" w:customStyle="1" w:styleId="50">
    <w:name w:val="ListLabel 1"/>
    <w:qFormat/>
    <w:uiPriority w:val="0"/>
  </w:style>
  <w:style w:type="character" w:customStyle="1" w:styleId="51">
    <w:name w:val="ListLabel 2"/>
    <w:qFormat/>
    <w:uiPriority w:val="0"/>
  </w:style>
  <w:style w:type="character" w:customStyle="1" w:styleId="52">
    <w:name w:val="ListLabel 3"/>
    <w:uiPriority w:val="0"/>
  </w:style>
  <w:style w:type="character" w:customStyle="1" w:styleId="53">
    <w:name w:val="ListLabel 4"/>
    <w:uiPriority w:val="0"/>
  </w:style>
  <w:style w:type="character" w:customStyle="1" w:styleId="54">
    <w:name w:val="ListLabel 5"/>
    <w:uiPriority w:val="0"/>
  </w:style>
  <w:style w:type="character" w:customStyle="1" w:styleId="55">
    <w:name w:val="ListLabel 6"/>
    <w:uiPriority w:val="0"/>
  </w:style>
  <w:style w:type="character" w:customStyle="1" w:styleId="56">
    <w:name w:val="ListLabel 7"/>
    <w:uiPriority w:val="0"/>
  </w:style>
  <w:style w:type="character" w:customStyle="1" w:styleId="57">
    <w:name w:val="ListLabel 8"/>
    <w:uiPriority w:val="0"/>
  </w:style>
  <w:style w:type="character" w:customStyle="1" w:styleId="58">
    <w:name w:val="ListLabel 9"/>
    <w:uiPriority w:val="0"/>
  </w:style>
  <w:style w:type="character" w:customStyle="1" w:styleId="59">
    <w:name w:val="ListLabel 10"/>
    <w:uiPriority w:val="0"/>
  </w:style>
  <w:style w:type="character" w:customStyle="1" w:styleId="60">
    <w:name w:val="ListLabel 11"/>
    <w:uiPriority w:val="0"/>
    <w:rPr>
      <w:rFonts w:ascii="Arial" w:hAnsi="Arial" w:cs="Arial"/>
      <w:b/>
      <w:sz w:val="24"/>
    </w:rPr>
  </w:style>
  <w:style w:type="character" w:customStyle="1" w:styleId="61">
    <w:name w:val="ListLabel 12"/>
    <w:uiPriority w:val="0"/>
  </w:style>
  <w:style w:type="character" w:customStyle="1" w:styleId="62">
    <w:name w:val="ListLabel 13"/>
    <w:uiPriority w:val="0"/>
  </w:style>
  <w:style w:type="character" w:customStyle="1" w:styleId="63">
    <w:name w:val="ListLabel 14"/>
    <w:uiPriority w:val="0"/>
  </w:style>
  <w:style w:type="character" w:customStyle="1" w:styleId="64">
    <w:name w:val="ListLabel 15"/>
    <w:uiPriority w:val="0"/>
  </w:style>
  <w:style w:type="character" w:customStyle="1" w:styleId="65">
    <w:name w:val="ListLabel 16"/>
    <w:uiPriority w:val="0"/>
  </w:style>
  <w:style w:type="character" w:customStyle="1" w:styleId="66">
    <w:name w:val="ListLabel 17"/>
    <w:uiPriority w:val="0"/>
  </w:style>
  <w:style w:type="character" w:customStyle="1" w:styleId="67">
    <w:name w:val="ListLabel 18"/>
    <w:uiPriority w:val="0"/>
  </w:style>
  <w:style w:type="character" w:customStyle="1" w:styleId="68">
    <w:name w:val="ListLabel 19"/>
    <w:uiPriority w:val="0"/>
    <w:rPr>
      <w:rFonts w:eastAsia="Times New Roman"/>
    </w:rPr>
  </w:style>
  <w:style w:type="character" w:customStyle="1" w:styleId="69">
    <w:name w:val="ListLabel 20"/>
    <w:uiPriority w:val="0"/>
    <w:rPr>
      <w:rFonts w:ascii="Arial" w:hAnsi="Arial" w:cs="Arial"/>
      <w:sz w:val="24"/>
      <w:u w:val="single"/>
      <w:lang w:val="ru-RU"/>
    </w:rPr>
  </w:style>
  <w:style w:type="character" w:customStyle="1" w:styleId="70">
    <w:name w:val="ListLabel 21"/>
    <w:uiPriority w:val="0"/>
    <w:rPr>
      <w:color w:val="0000AA"/>
      <w:sz w:val="24"/>
      <w:u w:val="single"/>
    </w:rPr>
  </w:style>
  <w:style w:type="character" w:customStyle="1" w:styleId="71">
    <w:name w:val="ListLabel 22"/>
    <w:uiPriority w:val="0"/>
    <w:rPr>
      <w:color w:val="0000FF"/>
      <w:sz w:val="24"/>
      <w:u w:val="single"/>
    </w:rPr>
  </w:style>
  <w:style w:type="character" w:customStyle="1" w:styleId="72">
    <w:name w:val="ListLabel 23"/>
    <w:qFormat/>
    <w:uiPriority w:val="0"/>
    <w:rPr>
      <w:rFonts w:ascii="Arial" w:hAnsi="Arial" w:cs="Arial"/>
      <w:sz w:val="24"/>
      <w:lang w:val="ru-RU"/>
    </w:rPr>
  </w:style>
  <w:style w:type="character" w:customStyle="1" w:styleId="73">
    <w:name w:val="ListLabel 24"/>
    <w:qFormat/>
    <w:uiPriority w:val="0"/>
    <w:rPr>
      <w:rFonts w:ascii="Arial" w:hAnsi="Arial" w:cs="Arial"/>
      <w:color w:val="0000AA"/>
      <w:sz w:val="24"/>
      <w:u w:val="single"/>
      <w:lang w:val="ru-RU"/>
    </w:rPr>
  </w:style>
  <w:style w:type="character" w:customStyle="1" w:styleId="74">
    <w:name w:val="ListLabel 25"/>
    <w:qFormat/>
    <w:uiPriority w:val="0"/>
    <w:rPr>
      <w:rFonts w:ascii="Arial" w:hAnsi="Arial" w:cs="Arial"/>
      <w:color w:val="0000FF"/>
      <w:sz w:val="24"/>
      <w:u w:val="single"/>
      <w:lang w:val="ru-RU"/>
    </w:rPr>
  </w:style>
  <w:style w:type="character" w:customStyle="1" w:styleId="75">
    <w:name w:val="Основной текст Знак"/>
    <w:qFormat/>
    <w:uiPriority w:val="0"/>
    <w:rPr>
      <w:rFonts w:ascii="Calibri" w:hAnsi="Calibri" w:cs="Times New Roman"/>
      <w:kern w:val="2"/>
    </w:rPr>
  </w:style>
  <w:style w:type="character" w:customStyle="1" w:styleId="76">
    <w:name w:val="Верхний колонтитул Знак"/>
    <w:qFormat/>
    <w:uiPriority w:val="0"/>
    <w:rPr>
      <w:rFonts w:ascii="Calibri" w:hAnsi="Calibri" w:cs="Times New Roman"/>
      <w:kern w:val="2"/>
    </w:rPr>
  </w:style>
  <w:style w:type="character" w:customStyle="1" w:styleId="77">
    <w:name w:val="Нижний колонтитул Знак"/>
    <w:qFormat/>
    <w:uiPriority w:val="0"/>
    <w:rPr>
      <w:rFonts w:ascii="Calibri" w:hAnsi="Calibri" w:cs="Times New Roman"/>
      <w:kern w:val="2"/>
    </w:rPr>
  </w:style>
  <w:style w:type="character" w:customStyle="1" w:styleId="78">
    <w:name w:val="Текст выноски Знак"/>
    <w:qFormat/>
    <w:uiPriority w:val="0"/>
    <w:rPr>
      <w:rFonts w:ascii="Tahoma" w:hAnsi="Tahoma" w:cs="Tahoma"/>
      <w:kern w:val="2"/>
      <w:sz w:val="16"/>
      <w:szCs w:val="16"/>
    </w:rPr>
  </w:style>
  <w:style w:type="character" w:customStyle="1" w:styleId="79">
    <w:name w:val="Текст сноски Знак"/>
    <w:basedOn w:val="45"/>
    <w:qFormat/>
    <w:uiPriority w:val="0"/>
  </w:style>
  <w:style w:type="character" w:customStyle="1" w:styleId="80">
    <w:name w:val="Символ сноски"/>
    <w:qFormat/>
    <w:uiPriority w:val="0"/>
    <w:rPr>
      <w:vertAlign w:val="superscript"/>
    </w:rPr>
  </w:style>
  <w:style w:type="character" w:customStyle="1" w:styleId="81">
    <w:name w:val="Знак примечания1"/>
    <w:qFormat/>
    <w:uiPriority w:val="0"/>
    <w:rPr>
      <w:sz w:val="16"/>
      <w:szCs w:val="16"/>
    </w:rPr>
  </w:style>
  <w:style w:type="character" w:customStyle="1" w:styleId="82">
    <w:name w:val="Текст примечания Знак"/>
    <w:qFormat/>
    <w:uiPriority w:val="0"/>
    <w:rPr>
      <w:rFonts w:ascii="Calibri" w:hAnsi="Calibri" w:cs="Calibri"/>
      <w:kern w:val="2"/>
    </w:rPr>
  </w:style>
  <w:style w:type="character" w:customStyle="1" w:styleId="83">
    <w:name w:val="Тема примечания Знак"/>
    <w:qFormat/>
    <w:uiPriority w:val="0"/>
    <w:rPr>
      <w:rFonts w:ascii="Calibri" w:hAnsi="Calibri" w:cs="Calibri"/>
      <w:b/>
      <w:bCs/>
      <w:kern w:val="2"/>
    </w:rPr>
  </w:style>
  <w:style w:type="paragraph" w:customStyle="1" w:styleId="84">
    <w:name w:val="Заголовок1"/>
    <w:basedOn w:val="1"/>
    <w:next w:val="20"/>
    <w:qFormat/>
    <w:uiPriority w:val="0"/>
    <w:rPr>
      <w:rFonts w:ascii="Arial" w:hAnsi="Arial" w:cs="Arial"/>
      <w:b/>
      <w:bCs/>
    </w:rPr>
  </w:style>
  <w:style w:type="paragraph" w:customStyle="1" w:styleId="85">
    <w:name w:val="Указатель2"/>
    <w:basedOn w:val="1"/>
    <w:qFormat/>
    <w:uiPriority w:val="0"/>
    <w:pPr>
      <w:suppressLineNumbers/>
    </w:pPr>
    <w:rPr>
      <w:rFonts w:cs="Arial"/>
    </w:rPr>
  </w:style>
  <w:style w:type="paragraph" w:customStyle="1" w:styleId="86">
    <w:name w:val="Название объекта1"/>
    <w:basedOn w:val="1"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87">
    <w:name w:val="Указатель1"/>
    <w:basedOn w:val="1"/>
    <w:uiPriority w:val="0"/>
    <w:pPr>
      <w:suppressLineNumbers/>
    </w:pPr>
    <w:rPr>
      <w:rFonts w:cs="Mangal"/>
    </w:rPr>
  </w:style>
  <w:style w:type="paragraph" w:customStyle="1" w:styleId="88">
    <w:name w:val="DocumentMap"/>
    <w:qFormat/>
    <w:uiPriority w:val="0"/>
    <w:pPr>
      <w:suppressAutoHyphens/>
    </w:pPr>
    <w:rPr>
      <w:rFonts w:ascii="Calibri" w:hAnsi="Calibri" w:eastAsia="Times New Roman" w:cs="Calibri"/>
      <w:kern w:val="2"/>
      <w:lang w:val="ru-RU" w:eastAsia="zh-CN" w:bidi="hi-IN"/>
    </w:rPr>
  </w:style>
  <w:style w:type="paragraph" w:customStyle="1" w:styleId="89">
    <w:name w:val="#COL_BOTTOM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16"/>
      <w:szCs w:val="16"/>
      <w:lang w:val="ru-RU" w:eastAsia="zh-CN" w:bidi="ar-SA"/>
    </w:rPr>
  </w:style>
  <w:style w:type="paragraph" w:customStyle="1" w:styleId="90">
    <w:name w:val="#COL_TOP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16"/>
      <w:szCs w:val="16"/>
      <w:lang w:val="ru-RU" w:eastAsia="zh-CN" w:bidi="ar-SA"/>
    </w:rPr>
  </w:style>
  <w:style w:type="paragraph" w:customStyle="1" w:styleId="91">
    <w:name w:val="#PRINT_SECTION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16"/>
      <w:szCs w:val="16"/>
      <w:lang w:val="ru-RU" w:eastAsia="zh-CN" w:bidi="ar-SA"/>
    </w:rPr>
  </w:style>
  <w:style w:type="paragraph" w:customStyle="1" w:styleId="92">
    <w:name w:val=".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93">
    <w:name w:val=".CENTERTEXT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94">
    <w:name w:val=".DJVU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95">
    <w:name w:val=".EMPTY_LINE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96">
    <w:name w:val=".FORMATTEXT"/>
    <w:link w:val="127"/>
    <w:qFormat/>
    <w:uiPriority w:val="99"/>
    <w:pPr>
      <w:widowControl w:val="0"/>
      <w:suppressAutoHyphens/>
    </w:pPr>
    <w:rPr>
      <w:rFonts w:ascii="Arial" w:hAnsi="Arial" w:eastAsia="Times New Roman" w:cs="Arial"/>
      <w:kern w:val="2"/>
      <w:lang w:val="ru-RU" w:eastAsia="zh-CN" w:bidi="ar-SA"/>
    </w:rPr>
  </w:style>
  <w:style w:type="paragraph" w:customStyle="1" w:styleId="97">
    <w:name w:val=".HEADERTEXT"/>
    <w:qFormat/>
    <w:uiPriority w:val="0"/>
    <w:pPr>
      <w:widowControl w:val="0"/>
      <w:suppressAutoHyphens/>
    </w:pPr>
    <w:rPr>
      <w:rFonts w:ascii="Arial" w:hAnsi="Arial" w:eastAsia="Times New Roman" w:cs="Arial"/>
      <w:color w:val="2B4279"/>
      <w:kern w:val="2"/>
      <w:lang w:val="ru-RU" w:eastAsia="zh-CN" w:bidi="ar-SA"/>
    </w:rPr>
  </w:style>
  <w:style w:type="paragraph" w:customStyle="1" w:styleId="98">
    <w:name w:val=".HORIZLINE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99">
    <w:name w:val=".IMAGE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0">
    <w:name w:val=".MIDDLEPICT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1">
    <w:name w:val=".OPENTAB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2">
    <w:name w:val=".TOPLEVELTEXT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3">
    <w:name w:val=".TradeMark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16"/>
      <w:szCs w:val="16"/>
      <w:lang w:val="ru-RU" w:eastAsia="zh-CN" w:bidi="ar-SA"/>
    </w:rPr>
  </w:style>
  <w:style w:type="paragraph" w:customStyle="1" w:styleId="104">
    <w:name w:val=".UNFORMATTEXT"/>
    <w:uiPriority w:val="0"/>
    <w:pPr>
      <w:widowControl w:val="0"/>
      <w:suppressAutoHyphens/>
    </w:pPr>
    <w:rPr>
      <w:rFonts w:ascii="Courier New" w:hAnsi="Courier New" w:eastAsia="Times New Roman" w:cs="Courier New"/>
      <w:kern w:val="2"/>
      <w:lang w:val="ru-RU" w:eastAsia="zh-CN" w:bidi="ar-SA"/>
    </w:rPr>
  </w:style>
  <w:style w:type="paragraph" w:customStyle="1" w:styleId="105">
    <w:name w:val="BODY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lang w:val="ru-RU" w:eastAsia="zh-CN" w:bidi="ar-SA"/>
    </w:rPr>
  </w:style>
  <w:style w:type="paragraph" w:customStyle="1" w:styleId="106">
    <w:name w:val="HTML"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7">
    <w:name w:val="TABLE"/>
    <w:qFormat/>
    <w:uiPriority w:val="0"/>
    <w:pPr>
      <w:widowControl w:val="0"/>
      <w:suppressAutoHyphens/>
    </w:pPr>
    <w:rPr>
      <w:rFonts w:ascii="Arial" w:hAnsi="Arial" w:eastAsia="Times New Roman" w:cs="Arial"/>
      <w:kern w:val="2"/>
      <w:sz w:val="24"/>
      <w:szCs w:val="24"/>
      <w:lang w:val="ru-RU" w:eastAsia="zh-CN" w:bidi="ar-SA"/>
    </w:rPr>
  </w:style>
  <w:style w:type="paragraph" w:customStyle="1" w:styleId="108">
    <w:name w:val="Сетка таблицы1"/>
    <w:basedOn w:val="88"/>
    <w:qFormat/>
    <w:uiPriority w:val="0"/>
    <w:rPr>
      <w:sz w:val="22"/>
      <w:szCs w:val="22"/>
      <w:lang w:bidi="ar-SA"/>
    </w:rPr>
  </w:style>
  <w:style w:type="paragraph" w:customStyle="1" w:styleId="109">
    <w:name w:val="Без интервала1"/>
    <w:uiPriority w:val="0"/>
    <w:pPr>
      <w:suppressAutoHyphens/>
    </w:pPr>
    <w:rPr>
      <w:rFonts w:ascii="Calibri" w:hAnsi="Calibri" w:eastAsia="Times New Roman" w:cs="Calibri"/>
      <w:kern w:val="2"/>
      <w:sz w:val="22"/>
      <w:szCs w:val="22"/>
      <w:lang w:val="ru-RU" w:eastAsia="zh-CN" w:bidi="ar-SA"/>
    </w:rPr>
  </w:style>
  <w:style w:type="paragraph" w:customStyle="1" w:styleId="110">
    <w:name w:val="Верхний и нижний колонтитулы"/>
    <w:basedOn w:val="1"/>
    <w:uiPriority w:val="0"/>
    <w:pPr>
      <w:suppressLineNumbers/>
      <w:tabs>
        <w:tab w:val="center" w:pos="4819"/>
        <w:tab w:val="right" w:pos="9638"/>
      </w:tabs>
    </w:pPr>
  </w:style>
  <w:style w:type="paragraph" w:customStyle="1" w:styleId="111">
    <w:name w:val="headertext"/>
    <w:basedOn w:val="1"/>
    <w:qFormat/>
    <w:uiPriority w:val="0"/>
    <w:pPr>
      <w:spacing w:before="100" w:after="100"/>
    </w:pPr>
    <w:rPr>
      <w:sz w:val="24"/>
      <w:szCs w:val="24"/>
    </w:rPr>
  </w:style>
  <w:style w:type="paragraph" w:customStyle="1" w:styleId="112">
    <w:name w:val="formattext topleveltext"/>
    <w:basedOn w:val="1"/>
    <w:uiPriority w:val="0"/>
    <w:pPr>
      <w:spacing w:before="100" w:after="100"/>
    </w:pPr>
    <w:rPr>
      <w:sz w:val="24"/>
      <w:szCs w:val="24"/>
    </w:rPr>
  </w:style>
  <w:style w:type="paragraph" w:customStyle="1" w:styleId="113">
    <w:name w:val="FR1"/>
    <w:uiPriority w:val="0"/>
    <w:pPr>
      <w:widowControl w:val="0"/>
      <w:suppressAutoHyphens/>
      <w:spacing w:line="300" w:lineRule="auto"/>
      <w:ind w:left="2280" w:right="2200"/>
      <w:jc w:val="center"/>
    </w:pPr>
    <w:rPr>
      <w:rFonts w:ascii="Times New Roman" w:hAnsi="Times New Roman" w:eastAsia="Times New Roman" w:cs="Times New Roman"/>
      <w:kern w:val="2"/>
      <w:sz w:val="28"/>
      <w:lang w:val="ru-RU" w:eastAsia="zh-CN" w:bidi="ar-SA"/>
    </w:rPr>
  </w:style>
  <w:style w:type="paragraph" w:customStyle="1" w:styleId="114">
    <w:name w:val="ConsPlusTitle"/>
    <w:uiPriority w:val="0"/>
    <w:pPr>
      <w:widowControl w:val="0"/>
      <w:suppressAutoHyphens/>
    </w:pPr>
    <w:rPr>
      <w:rFonts w:ascii="Times New Roman" w:hAnsi="Times New Roman" w:eastAsia="Times New Roman" w:cs="Times New Roman"/>
      <w:b/>
      <w:bCs/>
      <w:kern w:val="2"/>
      <w:sz w:val="24"/>
      <w:szCs w:val="24"/>
      <w:lang w:val="ru-RU" w:eastAsia="zh-CN" w:bidi="ar-SA"/>
    </w:rPr>
  </w:style>
  <w:style w:type="paragraph" w:customStyle="1" w:styleId="115">
    <w:name w:val="formattext"/>
    <w:basedOn w:val="1"/>
    <w:qFormat/>
    <w:uiPriority w:val="0"/>
    <w:pPr>
      <w:spacing w:before="100" w:after="100"/>
    </w:pPr>
    <w:rPr>
      <w:sz w:val="24"/>
      <w:szCs w:val="24"/>
    </w:rPr>
  </w:style>
  <w:style w:type="paragraph" w:customStyle="1" w:styleId="116">
    <w:name w:val="Основной текст 21"/>
    <w:basedOn w:val="1"/>
    <w:uiPriority w:val="0"/>
    <w:pPr>
      <w:widowControl w:val="0"/>
    </w:pPr>
    <w:rPr>
      <w:rFonts w:ascii="Verdana" w:hAnsi="Verdana" w:cs="Verdana"/>
      <w:b/>
      <w:sz w:val="24"/>
      <w:szCs w:val="20"/>
    </w:rPr>
  </w:style>
  <w:style w:type="paragraph" w:customStyle="1" w:styleId="117">
    <w:name w:val="headertext topleveltext centertext"/>
    <w:basedOn w:val="1"/>
    <w:qFormat/>
    <w:uiPriority w:val="0"/>
    <w:pPr>
      <w:spacing w:before="100" w:after="100"/>
    </w:pPr>
    <w:rPr>
      <w:sz w:val="24"/>
      <w:szCs w:val="24"/>
    </w:rPr>
  </w:style>
  <w:style w:type="paragraph" w:customStyle="1" w:styleId="118">
    <w:name w:val="Содержимое таблицы"/>
    <w:basedOn w:val="1"/>
    <w:qFormat/>
    <w:uiPriority w:val="0"/>
    <w:pPr>
      <w:suppressLineNumbers/>
    </w:pPr>
  </w:style>
  <w:style w:type="paragraph" w:customStyle="1" w:styleId="119">
    <w:name w:val="Заголовок таблицы"/>
    <w:basedOn w:val="118"/>
    <w:uiPriority w:val="0"/>
    <w:pPr>
      <w:jc w:val="center"/>
    </w:pPr>
    <w:rPr>
      <w:b/>
      <w:bCs/>
    </w:rPr>
  </w:style>
  <w:style w:type="character" w:customStyle="1" w:styleId="120">
    <w:name w:val="Основной текст Знак1"/>
    <w:link w:val="20"/>
    <w:semiHidden/>
    <w:qFormat/>
    <w:locked/>
    <w:uiPriority w:val="0"/>
    <w:rPr>
      <w:rFonts w:ascii="Verdana" w:hAnsi="Verdana" w:cs="Verdana"/>
      <w:kern w:val="2"/>
      <w:lang w:val="ru-RU" w:eastAsia="zh-CN" w:bidi="ar-SA"/>
    </w:rPr>
  </w:style>
  <w:style w:type="character" w:customStyle="1" w:styleId="121">
    <w:name w:val="Текст примечания Знак1"/>
    <w:link w:val="15"/>
    <w:qFormat/>
    <w:uiPriority w:val="99"/>
    <w:rPr>
      <w:rFonts w:ascii="Calibri" w:hAnsi="Calibri" w:cs="Calibri"/>
      <w:kern w:val="2"/>
      <w:lang w:eastAsia="zh-CN"/>
    </w:rPr>
  </w:style>
  <w:style w:type="character" w:customStyle="1" w:styleId="122">
    <w:name w:val="Font Style107"/>
    <w:qFormat/>
    <w:uiPriority w:val="0"/>
    <w:rPr>
      <w:rFonts w:hint="default" w:ascii="Trebuchet MS" w:hAnsi="Trebuchet MS" w:cs="Trebuchet MS"/>
      <w:sz w:val="16"/>
      <w:szCs w:val="16"/>
    </w:rPr>
  </w:style>
  <w:style w:type="paragraph" w:customStyle="1" w:styleId="123">
    <w:name w:val="0_иши"/>
    <w:basedOn w:val="1"/>
    <w:qFormat/>
    <w:uiPriority w:val="0"/>
    <w:pPr>
      <w:keepNext/>
      <w:widowControl w:val="0"/>
      <w:tabs>
        <w:tab w:val="left" w:pos="426"/>
      </w:tabs>
      <w:suppressAutoHyphens w:val="0"/>
      <w:spacing w:after="240" w:line="240" w:lineRule="auto"/>
      <w:jc w:val="center"/>
      <w:outlineLvl w:val="5"/>
    </w:pPr>
    <w:rPr>
      <w:rFonts w:ascii="Arial" w:hAnsi="Arial" w:cs="Arial"/>
      <w:b/>
      <w:kern w:val="0"/>
      <w:sz w:val="28"/>
      <w:szCs w:val="28"/>
      <w:lang w:eastAsia="ru-RU"/>
    </w:rPr>
  </w:style>
  <w:style w:type="character" w:customStyle="1" w:styleId="124">
    <w:name w:val="Текст концевой сноски Знак"/>
    <w:basedOn w:val="4"/>
    <w:link w:val="13"/>
    <w:semiHidden/>
    <w:qFormat/>
    <w:uiPriority w:val="99"/>
    <w:rPr>
      <w:rFonts w:ascii="Calibri" w:hAnsi="Calibri" w:cs="Calibri"/>
      <w:kern w:val="2"/>
      <w:lang w:eastAsia="zh-CN"/>
    </w:rPr>
  </w:style>
  <w:style w:type="character" w:customStyle="1" w:styleId="125">
    <w:name w:val="y2iqfc"/>
    <w:qFormat/>
    <w:uiPriority w:val="0"/>
  </w:style>
  <w:style w:type="paragraph" w:customStyle="1" w:styleId="126">
    <w:name w:val="Гост 1.5 Текст"/>
    <w:basedOn w:val="96"/>
    <w:link w:val="128"/>
    <w:qFormat/>
    <w:uiPriority w:val="0"/>
    <w:pPr>
      <w:suppressAutoHyphens w:val="0"/>
      <w:autoSpaceDE w:val="0"/>
      <w:autoSpaceDN w:val="0"/>
      <w:adjustRightInd w:val="0"/>
      <w:spacing w:before="120" w:after="240" w:line="360" w:lineRule="auto"/>
      <w:ind w:firstLine="709"/>
      <w:jc w:val="both"/>
    </w:pPr>
    <w:rPr>
      <w:rFonts w:ascii="Times New Roman" w:hAnsi="Times New Roman" w:cs="Times New Roman"/>
      <w:kern w:val="0"/>
      <w:sz w:val="28"/>
      <w:szCs w:val="28"/>
      <w:lang w:eastAsia="ru-RU"/>
    </w:rPr>
  </w:style>
  <w:style w:type="character" w:customStyle="1" w:styleId="127">
    <w:name w:val=".FORMATTEXT Знак"/>
    <w:link w:val="96"/>
    <w:uiPriority w:val="99"/>
    <w:rPr>
      <w:rFonts w:ascii="Arial" w:hAnsi="Arial" w:cs="Arial"/>
      <w:kern w:val="2"/>
      <w:lang w:eastAsia="zh-CN"/>
    </w:rPr>
  </w:style>
  <w:style w:type="character" w:customStyle="1" w:styleId="128">
    <w:name w:val="Гост 1.5 Текст Знак"/>
    <w:link w:val="126"/>
    <w:qFormat/>
    <w:uiPriority w:val="0"/>
    <w:rPr>
      <w:sz w:val="28"/>
      <w:szCs w:val="28"/>
    </w:rPr>
  </w:style>
  <w:style w:type="character" w:customStyle="1" w:styleId="129">
    <w:name w:val="Заголовок 2 Знак"/>
    <w:basedOn w:val="4"/>
    <w:link w:val="2"/>
    <w:qFormat/>
    <w:uiPriority w:val="9"/>
    <w:rPr>
      <w:b/>
      <w:bCs/>
      <w:sz w:val="36"/>
      <w:szCs w:val="36"/>
    </w:rPr>
  </w:style>
  <w:style w:type="character" w:customStyle="1" w:styleId="130">
    <w:name w:val="Заголовок 3 Знак"/>
    <w:basedOn w:val="4"/>
    <w:link w:val="3"/>
    <w:qFormat/>
    <w:uiPriority w:val="9"/>
    <w:rPr>
      <w:b/>
      <w:bCs/>
      <w:sz w:val="27"/>
      <w:szCs w:val="27"/>
    </w:rPr>
  </w:style>
  <w:style w:type="character" w:customStyle="1" w:styleId="131">
    <w:name w:val="ztplmc"/>
    <w:basedOn w:val="4"/>
    <w:uiPriority w:val="0"/>
  </w:style>
  <w:style w:type="character" w:customStyle="1" w:styleId="132">
    <w:name w:val="hwtze"/>
    <w:basedOn w:val="4"/>
    <w:uiPriority w:val="0"/>
  </w:style>
  <w:style w:type="character" w:customStyle="1" w:styleId="133">
    <w:name w:val="rynqvb"/>
    <w:basedOn w:val="4"/>
    <w:uiPriority w:val="0"/>
  </w:style>
  <w:style w:type="character" w:customStyle="1" w:styleId="134">
    <w:name w:val="ezkurwreuab5ozgtqnkl"/>
    <w:basedOn w:val="4"/>
    <w:qFormat/>
    <w:uiPriority w:val="0"/>
  </w:style>
  <w:style w:type="paragraph" w:styleId="135">
    <w:name w:val="List Paragraph"/>
    <w:basedOn w:val="1"/>
    <w:qFormat/>
    <w:uiPriority w:val="34"/>
    <w:pPr>
      <w:ind w:left="720"/>
      <w:contextualSpacing/>
    </w:pPr>
  </w:style>
  <w:style w:type="character" w:styleId="136">
    <w:name w:val="Placeholder Text"/>
    <w:basedOn w:val="4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emf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21C3AB-5B5F-467A-8B16-30273BACAD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24</Pages>
  <Words>3638</Words>
  <Characters>23163</Characters>
  <Lines>200</Lines>
  <Paragraphs>56</Paragraphs>
  <TotalTime>11956</TotalTime>
  <ScaleCrop>false</ScaleCrop>
  <LinksUpToDate>false</LinksUpToDate>
  <CharactersWithSpaces>27516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2024-09-18T10:13:00Z</dcterms:created>
  <dc:creator>Костылева</dc:creator>
  <cp:lastModifiedBy>n.badyina</cp:lastModifiedBy>
  <cp:lastPrinted>1995-11-21T14:41:00Z</cp:lastPrinted>
  <dcterms:modified xsi:type="dcterms:W3CDTF">2026-01-27T08:14:37Z</dcterms:modified>
  <dc:title>ГОСТ ISO 11612-2014 Система стандартов безопасности труда (ССБТ). Одежда для защиты от тепла и пламени. Общие требования и эксплуатационные характеристики</dc:title>
  <cp:revision>390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Строганова</vt:lpwstr>
  </property>
  <property fmtid="{D5CDD505-2E9C-101B-9397-08002B2CF9AE}" pid="3" name="KSOProductBuildVer">
    <vt:lpwstr>1049-12.2.0.23196</vt:lpwstr>
  </property>
  <property fmtid="{D5CDD505-2E9C-101B-9397-08002B2CF9AE}" pid="4" name="ICV">
    <vt:lpwstr>D312FFB147574C6CA0070EF6C9749AA6_12</vt:lpwstr>
  </property>
</Properties>
</file>