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word/footer4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5148" w:type="pct"/>
        <w:tblCellMar>
          <w:left w:w="0" w:type="dxa"/>
          <w:right w:w="0" w:type="dxa"/>
        </w:tblCellMar>
        <w:tblBorders>
          <w:top w:val="single" w:color="auto" w:sz="4" w:space="0"/>
          <w:bottom w:val="single" w:color="auto" w:sz="4" w:space="0"/>
        </w:tblBorders>
        <w:tblLook w:val="01E0" w:firstRow="1" w:lastRow="1" w:firstColumn="1" w:lastColumn="1" w:noHBand="0" w:noVBand="0"/>
      </w:tblPr>
      <w:tblGrid>
        <w:gridCol w:w="2000"/>
        <w:gridCol w:w="5062"/>
        <w:gridCol w:w="2744"/>
      </w:tblGrid>
      <w:tr>
        <w:trPr/>
        <w:tc>
          <w:tcPr>
            <w:gridSpan w:val="3"/>
            <w:tcBorders>
              <w:top w:val="single" w:color="auto" w:sz="36" w:space="0"/>
              <w:bottom w:val="single" w:color="auto" w:sz="36" w:space="0"/>
            </w:tcBorders>
            <w:tcW w:w="5000" w:type="pct"/>
            <w:textDirection w:val="lrTb"/>
            <w:noWrap w:val="false"/>
          </w:tcPr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z w:val="24"/>
                <w:szCs w:val="24"/>
              </w:rPr>
            </w:pPr>
            <w:r>
              <w:rPr>
                <w:rFonts w:ascii="Arial" w:hAnsi="Arial" w:eastAsia="Calibri"/>
                <w:b/>
                <w:sz w:val="24"/>
                <w:szCs w:val="24"/>
              </w:rPr>
              <w:t xml:space="preserve">ЕВРАЗИЙСКИЙ СОВЕТ ПО СТАНДАРТИЗАЦИИ, МЕТРОЛОГИИ И СЕРТИФИКАЦИИ</w:t>
            </w:r>
            <w:r>
              <w:rPr>
                <w:rFonts w:ascii="Arial" w:hAnsi="Arial" w:eastAsia="Calibri"/>
                <w:b/>
                <w:sz w:val="24"/>
                <w:szCs w:val="24"/>
              </w:rPr>
            </w:r>
          </w:p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  <w:t xml:space="preserve">(</w:t>
            </w:r>
            <w:r>
              <w:rPr>
                <w:rFonts w:ascii="Arial" w:hAnsi="Arial" w:eastAsia="Calibri"/>
                <w:b/>
                <w:sz w:val="24"/>
                <w:szCs w:val="24"/>
              </w:rPr>
              <w:t xml:space="preserve">ЕАС</w:t>
            </w: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  <w:t xml:space="preserve">C)</w:t>
            </w: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</w:r>
          </w:p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</w: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</w:r>
          </w:p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  <w:t xml:space="preserve">EURO-ASIAN COUNCIL FOR STANDARDIZATION, METROLOGY AND CERTIFICATION</w:t>
            </w: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</w:r>
          </w:p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  <w:t xml:space="preserve">(EASC)</w:t>
            </w:r>
            <w:r>
              <w:rPr>
                <w:rFonts w:ascii="Arial" w:hAnsi="Arial" w:eastAsia="Calibri"/>
                <w:b/>
                <w:sz w:val="24"/>
                <w:szCs w:val="24"/>
                <w:lang w:val="en-US"/>
              </w:rPr>
            </w:r>
          </w:p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sz w:val="16"/>
                <w:szCs w:val="16"/>
                <w:lang w:val="en-US"/>
              </w:rPr>
            </w:pPr>
            <w:r>
              <w:rPr>
                <w:rFonts w:ascii="Arial" w:hAnsi="Arial" w:eastAsia="Calibri"/>
                <w:sz w:val="16"/>
                <w:szCs w:val="16"/>
                <w:lang w:val="en-US"/>
              </w:rPr>
            </w:r>
            <w:r>
              <w:rPr>
                <w:rFonts w:ascii="Arial" w:hAnsi="Arial" w:eastAsia="Calibri"/>
                <w:sz w:val="16"/>
                <w:szCs w:val="16"/>
                <w:lang w:val="en-US"/>
              </w:rPr>
            </w:r>
          </w:p>
        </w:tc>
      </w:tr>
      <w:tr>
        <w:trPr>
          <w:trHeight w:val="2570" w:hRule="exact"/>
        </w:trPr>
        <w:tc>
          <w:tcPr>
            <w:tcBorders>
              <w:top w:val="single" w:color="auto" w:sz="36" w:space="0"/>
              <w:bottom w:val="single" w:color="auto" w:sz="24" w:space="0"/>
            </w:tcBorders>
            <w:tcW w:w="1020" w:type="pct"/>
            <w:vAlign w:val="center"/>
            <w:textDirection w:val="lrTb"/>
            <w:noWrap w:val="false"/>
          </w:tcPr>
          <w:p>
            <w:pPr>
              <w:widowControl w:val="true"/>
              <w:pBdr/>
              <w:spacing w:line="240" w:lineRule="auto"/>
              <w:ind w:firstLine="0"/>
              <w:jc w:val="center"/>
              <w:rPr>
                <w:rFonts w:ascii="Arial" w:hAnsi="Arial" w:eastAsia="Calibri"/>
                <w:b/>
                <w:spacing w:val="40"/>
              </w:rPr>
            </w:pPr>
            <w:r>
              <w:rPr>
                <w:rFonts w:ascii="Arial" w:hAnsi="Arial" w:eastAsia="Calibri"/>
                <w:b/>
                <w:spacing w:val="4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52500" cy="952500"/>
                      <wp:effectExtent l="19050" t="0" r="0" b="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250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5.00pt;height:75.00pt;mso-wrap-distance-left:0.00pt;mso-wrap-distance-top:0.00pt;mso-wrap-distance-right:0.00pt;mso-wrap-distance-bottom:0.00pt;z-index:1;" stroked="f" strokeweight="0.75pt">
                      <v:imagedata r:id="rId2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eastAsia="Calibri"/>
                <w:b/>
                <w:spacing w:val="40"/>
              </w:rPr>
            </w:r>
          </w:p>
        </w:tc>
        <w:tc>
          <w:tcPr>
            <w:tcBorders>
              <w:top w:val="single" w:color="auto" w:sz="36" w:space="0"/>
              <w:bottom w:val="single" w:color="auto" w:sz="24" w:space="0"/>
            </w:tcBorders>
            <w:tcW w:w="2581" w:type="pct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 w:firstLine="0"/>
              <w:jc w:val="center"/>
              <w:rPr>
                <w:rFonts w:ascii="Arial" w:hAnsi="Arial" w:eastAsia="Calibri"/>
                <w:b/>
                <w:spacing w:val="40"/>
                <w:sz w:val="26"/>
                <w:szCs w:val="26"/>
              </w:rPr>
            </w:pPr>
            <w:r>
              <w:rPr>
                <w:rFonts w:ascii="Arial" w:hAnsi="Arial" w:eastAsia="Calibri"/>
                <w:b/>
                <w:spacing w:val="40"/>
              </w:rPr>
              <w:t xml:space="preserve">МЕЖГОСУДАРСТВЕННЫЙ СТАНДАРТ</w:t>
            </w:r>
            <w:r>
              <w:rPr>
                <w:rFonts w:ascii="Arial" w:hAnsi="Arial" w:eastAsia="Calibri"/>
                <w:b/>
                <w:spacing w:val="40"/>
                <w:sz w:val="26"/>
                <w:szCs w:val="26"/>
              </w:rPr>
            </w:r>
          </w:p>
        </w:tc>
        <w:tc>
          <w:tcPr>
            <w:tcBorders>
              <w:top w:val="single" w:color="auto" w:sz="36" w:space="0"/>
              <w:bottom w:val="single" w:color="auto" w:sz="24" w:space="0"/>
            </w:tcBorders>
            <w:tcMar>
              <w:left w:w="113" w:type="dxa"/>
            </w:tcMar>
            <w:tcW w:w="1399" w:type="pct"/>
            <w:vAlign w:val="center"/>
            <w:textDirection w:val="lrTb"/>
            <w:noWrap w:val="false"/>
          </w:tcPr>
          <w:p>
            <w:pPr>
              <w:widowControl w:val="true"/>
              <w:pBdr/>
              <w:spacing w:line="276" w:lineRule="auto"/>
              <w:ind w:firstLine="0"/>
              <w:jc w:val="left"/>
              <w:rPr>
                <w:rFonts w:ascii="Arial" w:hAnsi="Arial" w:eastAsia="Calibri"/>
                <w:b/>
                <w:sz w:val="36"/>
                <w:szCs w:val="36"/>
              </w:rPr>
            </w:pPr>
            <w:r>
              <w:rPr>
                <w:rFonts w:ascii="Arial" w:hAnsi="Arial" w:eastAsia="Calibri"/>
                <w:b/>
                <w:sz w:val="36"/>
                <w:szCs w:val="36"/>
              </w:rPr>
              <w:t xml:space="preserve">ГОСТ </w:t>
            </w:r>
            <w:r>
              <w:rPr>
                <w:rFonts w:ascii="Arial" w:hAnsi="Arial" w:eastAsia="Calibri"/>
                <w:b/>
                <w:sz w:val="36"/>
                <w:szCs w:val="36"/>
              </w:rPr>
            </w:r>
          </w:p>
          <w:p>
            <w:pPr>
              <w:widowControl w:val="true"/>
              <w:pBdr/>
              <w:spacing w:line="276" w:lineRule="auto"/>
              <w:ind w:firstLine="0"/>
              <w:jc w:val="left"/>
              <w:rPr>
                <w:rFonts w:ascii="Arial" w:hAnsi="Arial" w:eastAsia="Calibri"/>
                <w:b/>
                <w:sz w:val="36"/>
                <w:szCs w:val="36"/>
              </w:rPr>
            </w:pPr>
            <w:r>
              <w:rPr>
                <w:rFonts w:ascii="Arial" w:hAnsi="Arial" w:eastAsia="Calibri"/>
                <w:b/>
                <w:sz w:val="36"/>
                <w:szCs w:val="36"/>
              </w:rPr>
              <w:t xml:space="preserve">                —</w:t>
            </w:r>
            <w:r>
              <w:rPr>
                <w:rFonts w:ascii="Arial" w:hAnsi="Arial" w:eastAsia="Calibri"/>
                <w:b/>
                <w:sz w:val="36"/>
                <w:szCs w:val="36"/>
              </w:rPr>
            </w:r>
          </w:p>
          <w:p>
            <w:pPr>
              <w:widowControl w:val="true"/>
              <w:pBdr/>
              <w:spacing w:line="276" w:lineRule="auto"/>
              <w:ind w:firstLine="0"/>
              <w:jc w:val="left"/>
              <w:rPr>
                <w:rFonts w:ascii="Arial" w:hAnsi="Arial" w:eastAsia="Calibri"/>
                <w:b/>
                <w:bCs/>
                <w:sz w:val="36"/>
                <w:szCs w:val="36"/>
              </w:rPr>
            </w:pPr>
            <w:r>
              <w:rPr>
                <w:rFonts w:ascii="Arial" w:hAnsi="Arial" w:eastAsia="Calibri"/>
                <w:b/>
                <w:bCs/>
                <w:sz w:val="36"/>
                <w:szCs w:val="36"/>
              </w:rPr>
              <w:t xml:space="preserve">202_</w:t>
            </w:r>
            <w:r>
              <w:rPr>
                <w:rFonts w:ascii="Arial" w:hAnsi="Arial" w:eastAsia="Calibri"/>
                <w:b/>
                <w:bCs/>
                <w:sz w:val="36"/>
                <w:szCs w:val="36"/>
              </w:rPr>
            </w:r>
          </w:p>
          <w:p>
            <w:pPr>
              <w:widowControl w:val="true"/>
              <w:pBdr/>
              <w:spacing w:line="276" w:lineRule="auto"/>
              <w:ind w:firstLine="0"/>
              <w:jc w:val="left"/>
              <w:rPr>
                <w:rFonts w:ascii="Arial" w:hAnsi="Arial" w:eastAsia="Calibri"/>
                <w:b/>
                <w:i/>
                <w:sz w:val="22"/>
                <w:szCs w:val="22"/>
              </w:rPr>
            </w:pPr>
            <w:r>
              <w:rPr>
                <w:rFonts w:ascii="Arial" w:hAnsi="Arial" w:eastAsia="Calibri"/>
                <w:b/>
                <w:i/>
                <w:sz w:val="22"/>
                <w:szCs w:val="22"/>
              </w:rPr>
              <w:t xml:space="preserve">(Проект RU, </w:t>
            </w:r>
            <w:r>
              <w:rPr>
                <w:rFonts w:ascii="Arial" w:hAnsi="Arial" w:eastAsia="Calibri"/>
                <w:b/>
                <w:i/>
                <w:sz w:val="22"/>
                <w:szCs w:val="22"/>
              </w:rPr>
              <w:br/>
              <w:t xml:space="preserve">окончательная редакция)</w:t>
            </w:r>
            <w:r>
              <w:rPr>
                <w:rFonts w:ascii="Arial" w:hAnsi="Arial" w:eastAsia="Calibri"/>
                <w:b/>
                <w:i/>
                <w:sz w:val="22"/>
                <w:szCs w:val="22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eastAsia="Arial" w:cs="Arial"/>
          <w:b/>
          <w:bCs/>
          <w:color w:val="000000"/>
          <w:sz w:val="32"/>
          <w:szCs w:val="32"/>
        </w:rPr>
        <w:t xml:space="preserve">МАТЕРИАЛЫ </w:t>
      </w:r>
      <w:r>
        <w:rPr>
          <w:rFonts w:ascii="Arial" w:hAnsi="Arial" w:cs="Arial"/>
          <w:b/>
          <w:bCs/>
          <w:sz w:val="32"/>
          <w:szCs w:val="32"/>
        </w:rPr>
        <w:t xml:space="preserve">ГИДРОИЗОЛЯЦИОННЫЕ</w:t>
      </w:r>
      <w:r>
        <w:rPr>
          <w:rFonts w:ascii="Arial" w:hAnsi="Arial" w:cs="Arial"/>
          <w:b/>
          <w:bCs/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  <w:r>
        <w:rPr>
          <w:rFonts w:ascii="Arial" w:hAnsi="Arial" w:eastAsia="Arial" w:cs="Arial"/>
          <w:b/>
          <w:bCs/>
          <w:color w:val="000000"/>
          <w:sz w:val="32"/>
          <w:szCs w:val="32"/>
          <w:highlight w:val="white"/>
        </w:rPr>
        <w:t xml:space="preserve">ГИБКИЕ РУЛОННЫЕ ПОЛ</w:t>
      </w:r>
      <w:r>
        <w:rPr>
          <w:rFonts w:ascii="Arial" w:hAnsi="Arial" w:eastAsia="Arial" w:cs="Arial"/>
          <w:b/>
          <w:bCs/>
          <w:color w:val="000000"/>
          <w:sz w:val="32"/>
          <w:szCs w:val="32"/>
        </w:rPr>
        <w:t xml:space="preserve">ИМЕРНЫЕ (ТЕРМОПЛАСТИЧНЫЕ И ЭЛАСТОМЕРНЫЕ)</w:t>
      </w:r>
      <w:r>
        <w:rPr>
          <w:rFonts w:ascii="Arial" w:hAnsi="Arial" w:eastAsia="Arial" w:cs="Arial"/>
          <w:b/>
          <w:bCs/>
          <w:color w:val="000000"/>
          <w:sz w:val="32"/>
          <w:szCs w:val="32"/>
        </w:rPr>
      </w:r>
    </w:p>
    <w:p>
      <w:pPr>
        <w:pStyle w:val="1142"/>
        <w:pBdr/>
        <w:spacing/>
        <w:ind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</w:r>
      <w:r>
        <w:rPr>
          <w:rFonts w:ascii="Arial" w:hAnsi="Arial" w:cs="Arial"/>
          <w:sz w:val="16"/>
          <w:szCs w:val="16"/>
        </w:rPr>
      </w:r>
    </w:p>
    <w:p>
      <w:pPr>
        <w:pStyle w:val="1142"/>
        <w:pBdr/>
        <w:spacing/>
        <w:ind/>
        <w:rPr>
          <w:sz w:val="32"/>
          <w:szCs w:val="32"/>
          <w:lang w:val="en-US"/>
        </w:rPr>
      </w:pPr>
      <w:r>
        <w:rPr>
          <w:rFonts w:ascii="Arial" w:hAnsi="Arial" w:cs="Arial"/>
          <w:sz w:val="32"/>
          <w:szCs w:val="32"/>
        </w:rPr>
        <w:t xml:space="preserve">Общие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технические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условия</w:t>
      </w:r>
      <w:r>
        <w:rPr>
          <w:sz w:val="32"/>
          <w:szCs w:val="32"/>
          <w:lang w:val="en-US"/>
        </w:rPr>
      </w:r>
    </w:p>
    <w:p>
      <w:pPr>
        <w:pBdr/>
        <w:spacing/>
        <w:ind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</w:r>
      <w:r>
        <w:rPr>
          <w:sz w:val="32"/>
          <w:szCs w:val="32"/>
          <w:lang w:val="en-US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 xml:space="preserve">(EN 13967:2</w:t>
      </w:r>
      <w:r>
        <w:rPr>
          <w:rFonts w:ascii="Arial" w:hAnsi="Arial" w:cs="Arial"/>
          <w:b/>
          <w:bCs/>
          <w:sz w:val="24"/>
          <w:szCs w:val="24"/>
          <w:highlight w:val="white"/>
          <w:lang w:val="en-US"/>
        </w:rPr>
        <w:t xml:space="preserve">012+A1:2017, Fl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exible sheets for waterproofing - Plastic and rubber damp proof sheets including plastic and rubber basement tanking sheet - Definitions and characteristics, NEQ)</w:t>
      </w:r>
      <w:r>
        <w:rPr>
          <w:rFonts w:ascii="Arial" w:hAnsi="Arial" w:cs="Arial"/>
          <w:b/>
          <w:bCs/>
          <w:sz w:val="24"/>
          <w:szCs w:val="24"/>
          <w:lang w:val="en-US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  <w:lang w:val="en-US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</w:rPr>
        <w:t xml:space="preserve">Настоящий проект стандарта не подлежит применению до его принятия</w:t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yellow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Минск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Евразийский совет по стандартизации, метрологии и сертификации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pBdr/>
        <w:spacing w:after="240"/>
        <w:ind w:firstLine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202_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pBdr/>
        <w:spacing w:after="240"/>
        <w:ind w:firstLine="0"/>
        <w:jc w:val="center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  <w:t xml:space="preserve">Предисловие</w:t>
      </w:r>
      <w:r>
        <w:rPr>
          <w:rFonts w:ascii="Arial" w:hAnsi="Arial" w:eastAsia="Arial" w:cs="Arial"/>
          <w:b/>
        </w:rPr>
      </w:r>
    </w:p>
    <w:p>
      <w:pPr>
        <w:widowControl w:val="true"/>
        <w:pBdr/>
        <w:spacing w:line="336" w:lineRule="auto"/>
        <w:ind/>
        <w:rPr>
          <w:rFonts w:ascii="Arial" w:hAnsi="Arial" w:eastAsia="Calibri"/>
          <w:sz w:val="24"/>
          <w:szCs w:val="22"/>
        </w:rPr>
      </w:pPr>
      <w:r>
        <w:rPr>
          <w:rFonts w:ascii="Arial" w:hAnsi="Arial" w:eastAsia="Calibri"/>
          <w:sz w:val="24"/>
          <w:szCs w:val="22"/>
        </w:rPr>
        <w:t xml:space="preserve"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</w:t>
      </w:r>
      <w:r>
        <w:rPr>
          <w:rFonts w:ascii="Arial" w:hAnsi="Arial" w:eastAsia="Calibri"/>
          <w:sz w:val="24"/>
          <w:szCs w:val="22"/>
        </w:rPr>
        <w:t xml:space="preserve">дальнейшем</w:t>
      </w:r>
      <w:r>
        <w:rPr>
          <w:rFonts w:ascii="Arial" w:hAnsi="Arial" w:eastAsia="Calibri"/>
          <w:sz w:val="24"/>
          <w:szCs w:val="22"/>
        </w:rPr>
        <w:t xml:space="preserve"> возможно вступление в ЕАСС национальных органов по стандартизации других государств.</w:t>
      </w:r>
      <w:r>
        <w:rPr>
          <w:rFonts w:ascii="Arial" w:hAnsi="Arial" w:eastAsia="Calibri"/>
          <w:sz w:val="24"/>
          <w:szCs w:val="22"/>
        </w:rPr>
      </w:r>
    </w:p>
    <w:p>
      <w:pPr>
        <w:pStyle w:val="1267"/>
        <w:pBdr/>
        <w:spacing w:after="0" w:afterAutospacing="0" w:before="0" w:beforeAutospacing="0" w:line="360" w:lineRule="auto"/>
        <w:ind w:firstLine="680"/>
        <w:jc w:val="both"/>
        <w:rPr>
          <w:rFonts w:ascii="Arial" w:hAnsi="Arial" w:eastAsia="Calibri" w:cs="Arial"/>
        </w:rPr>
      </w:pPr>
      <w:r>
        <w:rPr>
          <w:rFonts w:ascii="Arial" w:hAnsi="Arial" w:eastAsia="Calibri"/>
          <w:szCs w:val="22"/>
        </w:rPr>
        <w:t xml:space="preserve">Цели, основные принципы и общие правила проведения работ по межгосударственной стандартизации установлены ГОСТ 1.0 «Меж</w:t>
      </w:r>
      <w:r>
        <w:rPr>
          <w:rFonts w:ascii="Arial" w:hAnsi="Arial" w:eastAsia="Calibri"/>
          <w:szCs w:val="22"/>
        </w:rPr>
        <w:t xml:space="preserve">государственная система стандартизации. Основные положения» и ГОСТ 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r>
        <w:rPr>
          <w:rFonts w:ascii="Arial" w:hAnsi="Arial" w:eastAsia="Calibri" w:cs="Arial"/>
        </w:rPr>
      </w:r>
    </w:p>
    <w:p>
      <w:pPr>
        <w:pBdr/>
        <w:spacing w:after="240" w:before="240"/>
        <w:ind w:firstLine="680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Сведения о стандарте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cs="Arial"/>
          <w:szCs w:val="24"/>
          <w:highlight w:val="white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1 РАЗРАБОТАН Национальным кровельным союзом (НКС) </w:t>
      </w:r>
      <w:r>
        <w:rPr>
          <w:rFonts w:ascii="Arial" w:hAnsi="Arial" w:cs="Arial"/>
          <w:szCs w:val="24"/>
          <w:highlight w:val="white"/>
        </w:rPr>
      </w:r>
    </w:p>
    <w:p>
      <w:pPr>
        <w:pBdr/>
        <w:spacing/>
        <w:ind w:firstLine="680"/>
        <w:rPr>
          <w:rFonts w:ascii="Arial" w:hAnsi="Arial" w:eastAsia="Calibri"/>
          <w:sz w:val="24"/>
        </w:rPr>
      </w:pPr>
      <w:r>
        <w:rPr>
          <w:rFonts w:ascii="Arial" w:hAnsi="Arial" w:eastAsia="Arial" w:cs="Arial"/>
          <w:sz w:val="24"/>
          <w:szCs w:val="24"/>
        </w:rPr>
        <w:t xml:space="preserve">2 ВНЕСЕН </w:t>
      </w:r>
      <w:r>
        <w:rPr>
          <w:rFonts w:ascii="Arial" w:hAnsi="Arial" w:eastAsia="Calibri"/>
          <w:sz w:val="24"/>
        </w:rPr>
        <w:t xml:space="preserve">Техническим комитетом по стандартизации ТК 144 «Строительные материалы и изделия»</w:t>
      </w:r>
      <w:r>
        <w:rPr>
          <w:rFonts w:ascii="Arial" w:hAnsi="Arial" w:eastAsia="Calibri"/>
          <w:sz w:val="24"/>
        </w:rPr>
      </w:r>
    </w:p>
    <w:p>
      <w:pPr>
        <w:pBdr/>
        <w:spacing/>
        <w:ind w:firstLine="6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ПРИНЯТ </w:t>
      </w:r>
      <w:r>
        <w:rPr>
          <w:rFonts w:ascii="Arial" w:hAnsi="Arial" w:eastAsia="Calibri"/>
          <w:sz w:val="24"/>
        </w:rPr>
        <w:t xml:space="preserve">Евразийским советом по стандартизации, метрологии и сертификации (протокол </w:t>
      </w:r>
      <w:r>
        <w:rPr>
          <w:rFonts w:ascii="Arial" w:hAnsi="Arial" w:eastAsia="Calibri"/>
          <w:sz w:val="24"/>
        </w:rPr>
        <w:tab/>
        <w:t xml:space="preserve">от</w:t>
      </w:r>
      <w:r>
        <w:rPr>
          <w:rFonts w:ascii="Arial" w:hAnsi="Arial" w:eastAsia="Calibri"/>
          <w:sz w:val="24"/>
        </w:rPr>
        <w:tab/>
      </w:r>
      <w:r>
        <w:rPr>
          <w:rFonts w:ascii="Arial" w:hAnsi="Arial" w:eastAsia="Calibri"/>
          <w:sz w:val="24"/>
        </w:rPr>
        <w:tab/>
      </w:r>
      <w:r>
        <w:rPr>
          <w:rFonts w:ascii="Arial" w:hAnsi="Arial" w:eastAsia="Calibri"/>
          <w:sz w:val="24"/>
        </w:rPr>
        <w:tab/>
        <w:t xml:space="preserve">       №</w:t>
      </w:r>
      <w:r>
        <w:rPr>
          <w:rFonts w:ascii="Arial" w:hAnsi="Arial" w:eastAsia="Calibri"/>
          <w:sz w:val="24"/>
        </w:rPr>
        <w:tab/>
        <w:t xml:space="preserve">                    )</w:t>
      </w:r>
      <w:r>
        <w:rPr>
          <w:rFonts w:ascii="Arial" w:hAnsi="Arial" w:cs="Arial"/>
          <w:sz w:val="24"/>
          <w:szCs w:val="24"/>
        </w:rPr>
      </w:r>
    </w:p>
    <w:p>
      <w:pPr>
        <w:pBdr/>
        <w:spacing w:before="240"/>
        <w:ind w:firstLine="68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За принятие проголосовали</w:t>
      </w:r>
      <w:r>
        <w:rPr>
          <w:rFonts w:ascii="Arial" w:hAnsi="Arial" w:cs="Arial"/>
          <w:sz w:val="24"/>
          <w:szCs w:val="24"/>
          <w:lang w:val="en-US"/>
        </w:rPr>
      </w:r>
    </w:p>
    <w:tbl>
      <w:tblPr>
        <w:tblInd w:w="59" w:type="dxa"/>
        <w:tblW w:w="9468" w:type="dxa"/>
        <w:tblBorders/>
        <w:tblLook w:val="04A0" w:firstRow="1" w:lastRow="0" w:firstColumn="1" w:lastColumn="0" w:noHBand="0" w:noVBand="1"/>
      </w:tblPr>
      <w:tblGrid>
        <w:gridCol w:w="2835"/>
        <w:gridCol w:w="2098"/>
        <w:gridCol w:w="4535"/>
      </w:tblGrid>
      <w:tr>
        <w:trPr>
          <w:cantSplit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 w:firstLine="0"/>
              <w:jc w:val="center"/>
              <w:rPr>
                <w:rFonts w:ascii="Arial" w:hAnsi="Arial" w:eastAsia="Calibri"/>
                <w:sz w:val="20"/>
              </w:rPr>
            </w:pPr>
            <w:r>
              <w:rPr>
                <w:rFonts w:ascii="Arial" w:hAnsi="Arial" w:eastAsia="Calibri"/>
                <w:sz w:val="20"/>
              </w:rPr>
              <w:t xml:space="preserve">Краткое</w:t>
            </w:r>
            <w:r>
              <w:rPr>
                <w:rFonts w:ascii="Arial" w:hAnsi="Arial" w:eastAsia="Calibri"/>
                <w:sz w:val="20"/>
              </w:rPr>
            </w:r>
          </w:p>
          <w:p>
            <w:pPr>
              <w:pBdr/>
              <w:spacing w:line="276" w:lineRule="auto"/>
              <w:ind w:firstLine="0"/>
              <w:jc w:val="center"/>
              <w:rPr>
                <w:rFonts w:ascii="Arial" w:hAnsi="Arial" w:eastAsia="Calibri"/>
                <w:sz w:val="20"/>
              </w:rPr>
            </w:pPr>
            <w:r>
              <w:rPr>
                <w:rFonts w:ascii="Arial" w:hAnsi="Arial" w:eastAsia="Calibri"/>
                <w:sz w:val="20"/>
              </w:rPr>
              <w:t xml:space="preserve">наименование страны</w:t>
            </w:r>
            <w:r>
              <w:rPr>
                <w:rFonts w:ascii="Arial" w:hAnsi="Arial" w:eastAsia="Calibri"/>
                <w:sz w:val="20"/>
              </w:rPr>
              <w:br/>
              <w:t xml:space="preserve">по МК (ИСО 3166) 004</w:t>
            </w:r>
            <w:r>
              <w:rPr>
                <w:rFonts w:ascii="Arial" w:hAnsi="Arial" w:eastAsia="Calibri" w:cs="Arial"/>
                <w:sz w:val="20"/>
              </w:rPr>
              <w:t xml:space="preserve">―</w:t>
            </w:r>
            <w:r>
              <w:rPr>
                <w:rFonts w:ascii="Arial" w:hAnsi="Arial" w:eastAsia="Calibri"/>
                <w:sz w:val="20"/>
              </w:rPr>
              <w:t xml:space="preserve">97</w:t>
            </w:r>
            <w:r>
              <w:rPr>
                <w:rFonts w:ascii="Arial" w:hAnsi="Arial" w:eastAsia="Calibri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 w:firstLine="0"/>
              <w:jc w:val="center"/>
              <w:rPr>
                <w:rFonts w:ascii="Arial" w:hAnsi="Arial" w:eastAsia="Calibri"/>
                <w:sz w:val="20"/>
              </w:rPr>
            </w:pPr>
            <w:r>
              <w:rPr>
                <w:rFonts w:ascii="Arial" w:hAnsi="Arial" w:eastAsia="Calibri"/>
                <w:sz w:val="20"/>
              </w:rPr>
              <w:t xml:space="preserve">Код страны</w:t>
            </w:r>
            <w:r>
              <w:rPr>
                <w:rFonts w:ascii="Arial" w:hAnsi="Arial" w:eastAsia="Calibri"/>
                <w:sz w:val="20"/>
              </w:rPr>
              <w:br/>
              <w:t xml:space="preserve">по МК (ИСО 3166) 004</w:t>
            </w:r>
            <w:r>
              <w:rPr>
                <w:rFonts w:ascii="Arial" w:hAnsi="Arial" w:eastAsia="Calibri" w:cs="Arial"/>
                <w:sz w:val="20"/>
              </w:rPr>
              <w:t xml:space="preserve">―</w:t>
            </w:r>
            <w:r>
              <w:rPr>
                <w:rFonts w:ascii="Arial" w:hAnsi="Arial" w:eastAsia="Calibri"/>
                <w:sz w:val="20"/>
              </w:rPr>
              <w:t xml:space="preserve">97</w:t>
            </w:r>
            <w:r>
              <w:rPr>
                <w:rFonts w:ascii="Arial" w:hAnsi="Arial" w:eastAsia="Calibri"/>
                <w:sz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 w:firstLine="0"/>
              <w:jc w:val="center"/>
              <w:rPr>
                <w:rFonts w:ascii="Arial" w:hAnsi="Arial" w:eastAsia="Calibri"/>
                <w:sz w:val="20"/>
              </w:rPr>
            </w:pPr>
            <w:r>
              <w:rPr>
                <w:rFonts w:ascii="Arial" w:hAnsi="Arial" w:eastAsia="Calibri"/>
                <w:sz w:val="20"/>
              </w:rPr>
              <w:t xml:space="preserve">Сокращенное наименование национального органа по стандартизации</w:t>
            </w:r>
            <w:r>
              <w:rPr>
                <w:rFonts w:ascii="Arial" w:hAnsi="Arial" w:eastAsia="Calibri"/>
                <w:sz w:val="20"/>
              </w:rPr>
            </w:r>
          </w:p>
        </w:tc>
      </w:tr>
      <w:tr>
        <w:trPr>
          <w:cantSplit/>
        </w:trPr>
        <w:tc>
          <w:tcPr>
            <w:tcBorders>
              <w:top w:val="single" w:color="auto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single" w:color="auto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  <w:tr>
        <w:trPr>
          <w:cantSplit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2098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jc w:val="center"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74" w:type="dxa"/>
              <w:top w:w="15" w:type="dxa"/>
              <w:right w:w="74" w:type="dxa"/>
              <w:bottom w:w="15" w:type="dxa"/>
            </w:tcMar>
            <w:tcW w:w="4535" w:type="dxa"/>
            <w:vAlign w:val="center"/>
            <w:textDirection w:val="lrTb"/>
            <w:noWrap w:val="false"/>
          </w:tcPr>
          <w:p>
            <w:pPr>
              <w:pBdr/>
              <w:spacing w:line="276" w:lineRule="auto"/>
              <w:ind/>
              <w:rPr>
                <w:rFonts w:ascii="Arial" w:hAnsi="Arial" w:eastAsia="Calibri"/>
              </w:rPr>
            </w:pPr>
            <w:r>
              <w:rPr>
                <w:rFonts w:ascii="Arial" w:hAnsi="Arial" w:eastAsia="Calibri"/>
              </w:rPr>
            </w:r>
            <w:r>
              <w:rPr>
                <w:rFonts w:ascii="Arial" w:hAnsi="Arial" w:eastAsia="Calibri"/>
              </w:rPr>
            </w:r>
          </w:p>
        </w:tc>
      </w:tr>
    </w:tbl>
    <w:p>
      <w:pPr>
        <w:pBdr/>
        <w:tabs>
          <w:tab w:val="left" w:leader="none" w:pos="4125"/>
        </w:tabs>
        <w:spacing w:line="240" w:lineRule="auto"/>
        <w:ind/>
        <w:rPr>
          <w:rFonts w:ascii="Arial" w:hAnsi="Arial" w:cs="Arial"/>
          <w:b/>
          <w:bCs/>
          <w:sz w:val="20"/>
          <w:szCs w:val="24"/>
        </w:rPr>
      </w:pPr>
      <w:r>
        <w:rPr>
          <w:rFonts w:ascii="Arial" w:hAnsi="Arial" w:cs="Arial"/>
          <w:b/>
          <w:bCs/>
          <w:sz w:val="20"/>
          <w:szCs w:val="24"/>
        </w:rPr>
      </w:r>
      <w:r>
        <w:rPr>
          <w:rFonts w:ascii="Arial" w:hAnsi="Arial" w:cs="Arial"/>
          <w:b/>
          <w:bCs/>
          <w:sz w:val="20"/>
          <w:szCs w:val="24"/>
        </w:rPr>
      </w:r>
    </w:p>
    <w:p>
      <w:pPr>
        <w:pBdr/>
        <w:spacing/>
        <w:ind/>
        <w:rPr>
          <w:rFonts w:ascii="Arial" w:hAnsi="Arial" w:cs="Arial"/>
        </w:rPr>
      </w:pPr>
      <w:r>
        <w:rPr>
          <w:rFonts w:ascii="Arial" w:hAnsi="Arial" w:cs="Arial"/>
          <w:iCs/>
          <w:sz w:val="24"/>
          <w:szCs w:val="24"/>
        </w:rPr>
        <w:t xml:space="preserve">4 </w:t>
      </w:r>
      <w:r>
        <w:rPr>
          <w:rFonts w:ascii="Arial" w:hAnsi="Arial" w:cs="Arial"/>
          <w:sz w:val="24"/>
          <w:szCs w:val="24"/>
        </w:rPr>
        <w:t xml:space="preserve">Настоящий</w:t>
      </w:r>
      <w:r>
        <w:rPr>
          <w:rFonts w:ascii="Arial" w:hAnsi="Arial" w:cs="Arial"/>
          <w:sz w:val="24"/>
          <w:szCs w:val="24"/>
          <w:highlight w:val="white"/>
        </w:rPr>
        <w:t xml:space="preserve"> стандарт разработан с учетом основных нормативных положений стандарта</w:t>
      </w:r>
      <w:r>
        <w:rPr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EN 13967:2012+A1:2017 «Лист</w:t>
      </w:r>
      <w:r>
        <w:rPr>
          <w:rFonts w:ascii="Arial" w:hAnsi="Arial" w:eastAsia="Arial" w:cs="Arial"/>
          <w:sz w:val="24"/>
          <w:szCs w:val="24"/>
        </w:rPr>
        <w:t xml:space="preserve">ы гибкие для гидроизоляции. </w:t>
      </w:r>
      <w:r>
        <w:rPr>
          <w:rFonts w:ascii="Arial" w:hAnsi="Arial" w:eastAsia="Arial" w:cs="Arial"/>
          <w:sz w:val="24"/>
          <w:szCs w:val="24"/>
        </w:rPr>
        <w:t xml:space="preserve">Пластмассовые и резиновые влагостойкие листы, включая листы оснований резервуаров. Определения и характеристики» («</w:t>
      </w:r>
      <w:r>
        <w:rPr>
          <w:rFonts w:ascii="Arial" w:hAnsi="Arial" w:eastAsia="Arial" w:cs="Arial"/>
          <w:sz w:val="24"/>
          <w:szCs w:val="24"/>
          <w:lang w:val="en-US"/>
        </w:rPr>
        <w:t xml:space="preserve">Flexible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sheets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for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waterproofing</w:t>
      </w:r>
      <w:r>
        <w:rPr>
          <w:rFonts w:ascii="Arial" w:hAnsi="Arial" w:eastAsia="Arial" w:cs="Arial"/>
          <w:sz w:val="24"/>
          <w:szCs w:val="24"/>
        </w:rPr>
        <w:t xml:space="preserve"> -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Plastic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and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rubber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damp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proof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sheets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including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plastic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and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rubber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basement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tanking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sheet</w:t>
      </w:r>
      <w:r>
        <w:rPr>
          <w:rFonts w:ascii="Arial" w:hAnsi="Arial" w:eastAsia="Arial" w:cs="Arial"/>
          <w:sz w:val="24"/>
          <w:szCs w:val="24"/>
        </w:rPr>
        <w:t xml:space="preserve"> -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Definitions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and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lang w:val="en-US"/>
        </w:rPr>
        <w:t xml:space="preserve">characteristics</w:t>
      </w:r>
      <w:r>
        <w:rPr>
          <w:rFonts w:ascii="Arial" w:hAnsi="Arial" w:eastAsia="Arial" w:cs="Arial"/>
          <w:sz w:val="24"/>
          <w:szCs w:val="24"/>
        </w:rPr>
        <w:t xml:space="preserve">»,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NEQ</w:t>
      </w:r>
      <w:r>
        <w:rPr>
          <w:rFonts w:ascii="Arial" w:hAnsi="Arial" w:cs="Arial"/>
          <w:sz w:val="24"/>
          <w:szCs w:val="24"/>
        </w:rPr>
        <w:t xml:space="preserve">).</w:t>
      </w:r>
      <w:r>
        <w:rPr>
          <w:rFonts w:ascii="Arial" w:hAnsi="Arial" w:cs="Arial"/>
        </w:rPr>
      </w:r>
    </w:p>
    <w:p>
      <w:pPr>
        <w:pStyle w:val="1250"/>
        <w:pBdr/>
        <w:spacing w:after="0" w:afterAutospacing="0" w:before="0" w:beforeAutospacing="0" w:line="360" w:lineRule="auto"/>
        <w:ind w:firstLine="6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 ВВЕДЕН ВПЕРВЫЕ</w:t>
      </w:r>
      <w:r>
        <w:rPr>
          <w:rFonts w:ascii="Arial" w:hAnsi="Arial" w:cs="Arial"/>
        </w:rPr>
      </w:r>
    </w:p>
    <w:p>
      <w:pPr>
        <w:pBdr/>
        <w:spacing/>
        <w:ind w:firstLine="510"/>
        <w:rPr>
          <w:rFonts w:ascii="Arial" w:hAnsi="Arial" w:eastAsia="Arial" w:cs="Arial"/>
          <w:sz w:val="16"/>
          <w:szCs w:val="16"/>
          <w:highlight w:val="yellow"/>
        </w:rPr>
      </w:pPr>
      <w:r>
        <w:rPr>
          <w:rFonts w:ascii="Arial" w:hAnsi="Arial" w:eastAsia="Arial" w:cs="Arial"/>
          <w:sz w:val="16"/>
          <w:szCs w:val="16"/>
          <w:highlight w:val="yellow"/>
        </w:rPr>
      </w:r>
      <w:r>
        <w:rPr>
          <w:rFonts w:ascii="Arial" w:hAnsi="Arial" w:eastAsia="Arial" w:cs="Arial"/>
          <w:sz w:val="16"/>
          <w:szCs w:val="16"/>
          <w:highlight w:val="yellow"/>
        </w:rPr>
      </w:r>
    </w:p>
    <w:p>
      <w:pPr>
        <w:pBdr/>
        <w:spacing/>
        <w:ind w:firstLine="51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Информация о введении в действие (прекращении дейст</w:t>
      </w:r>
      <w:r>
        <w:rPr>
          <w:rFonts w:ascii="Arial" w:hAnsi="Arial" w:cs="Arial"/>
          <w:i/>
          <w:iCs/>
          <w:sz w:val="24"/>
          <w:szCs w:val="24"/>
        </w:rPr>
        <w:t xml:space="preserve">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Bdr/>
        <w:spacing/>
        <w:ind w:firstLine="51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Bdr/>
        <w:spacing w:after="240"/>
        <w:ind w:firstLine="708"/>
        <w:rPr>
          <w:rFonts w:ascii="Arial" w:hAnsi="Arial" w:cs="Arial"/>
          <w:bCs/>
          <w:i/>
          <w:sz w:val="24"/>
          <w:szCs w:val="24"/>
        </w:rPr>
      </w:pPr>
      <w:r/>
      <w:bookmarkStart w:id="0" w:name="_GoBack"/>
      <w:r/>
      <w:bookmarkEnd w:id="0"/>
      <w:r/>
      <w:r>
        <w:rPr>
          <w:rFonts w:ascii="Arial" w:hAnsi="Arial" w:cs="Arial"/>
          <w:bCs/>
          <w:i/>
          <w:sz w:val="24"/>
          <w:szCs w:val="24"/>
        </w:rPr>
      </w:r>
    </w:p>
    <w:p>
      <w:pPr>
        <w:pBdr/>
        <w:spacing w:after="240"/>
        <w:ind w:firstLine="708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</w:r>
      <w:r>
        <w:rPr>
          <w:rFonts w:ascii="Arial" w:hAnsi="Arial" w:cs="Arial"/>
          <w:bCs/>
          <w:i/>
          <w:sz w:val="24"/>
          <w:szCs w:val="24"/>
        </w:rPr>
      </w:r>
    </w:p>
    <w:p>
      <w:pPr>
        <w:pBdr/>
        <w:spacing w:after="240"/>
        <w:ind w:firstLine="708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Исключительное право официального опубликования настоящего стандарта на территории указанных выше госуда</w:t>
      </w:r>
      <w:r>
        <w:rPr>
          <w:rFonts w:ascii="Arial" w:hAnsi="Arial" w:cs="Arial"/>
          <w:i/>
          <w:iCs/>
          <w:sz w:val="24"/>
          <w:szCs w:val="24"/>
        </w:rPr>
        <w:t xml:space="preserve">рств пр</w:t>
      </w:r>
      <w:r>
        <w:rPr>
          <w:rFonts w:ascii="Arial" w:hAnsi="Arial" w:cs="Arial"/>
          <w:i/>
          <w:iCs/>
          <w:sz w:val="24"/>
          <w:szCs w:val="24"/>
        </w:rPr>
        <w:t xml:space="preserve">инадлежит национальным органам по стандартизации этих государств</w:t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Bdr/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 w:clear="all"/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0"/>
        <w:rPr>
          <w:rFonts w:ascii="Arial" w:hAnsi="Arial" w:cs="Arial"/>
        </w:rPr>
        <w:sectPr>
          <w:headerReference w:type="default" r:id="rId9"/>
          <w:headerReference w:type="even" r:id="rId10"/>
          <w:footerReference w:type="default" r:id="rId14"/>
          <w:footerReference w:type="even" r:id="rId15"/>
          <w:footnotePr/>
          <w:endnotePr/>
          <w:type w:val="nextPage"/>
          <w:pgSz w:h="16838" w:orient="portrait" w:w="11906"/>
          <w:pgMar w:top="1134" w:right="794" w:bottom="1134" w:left="1588" w:header="709" w:footer="709" w:gutter="0"/>
          <w:pgNumType w:fmt="upperRoman" w:start="2"/>
          <w:cols w:num="1" w:sep="0" w:space="708" w:equalWidth="1"/>
          <w:titlePg/>
        </w:sect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/>
        <w:spacing w:line="240" w:lineRule="auto"/>
        <w:ind w:firstLine="0"/>
        <w:jc w:val="center"/>
        <w:rPr>
          <w:rFonts w:ascii="Arial" w:hAnsi="Arial" w:cs="Arial"/>
          <w:b/>
          <w:caps/>
          <w:spacing w:val="160"/>
          <w:sz w:val="24"/>
          <w:szCs w:val="24"/>
          <w:lang w:eastAsia="ar-SA"/>
        </w:rPr>
      </w:pPr>
      <w:r>
        <w:rPr>
          <w:rFonts w:ascii="Arial" w:hAnsi="Arial" w:eastAsia="Arial" w:cs="Arial"/>
          <w:b/>
          <w:smallCaps/>
          <w:spacing w:val="160"/>
          <w:sz w:val="24"/>
          <w:szCs w:val="24"/>
        </w:rPr>
        <w:t xml:space="preserve">МЕЖГОСУДАРСТВЕННЫЙ СТАНДАРТ</w:t>
      </w:r>
      <w:r>
        <w:rPr>
          <w:rFonts w:ascii="Arial" w:hAnsi="Arial" w:cs="Arial"/>
          <w:b/>
          <w:caps/>
          <w:spacing w:val="160"/>
          <w:sz w:val="24"/>
          <w:szCs w:val="24"/>
          <w:lang w:eastAsia="ar-SA"/>
        </w:rPr>
      </w:r>
    </w:p>
    <w:p>
      <w:pPr>
        <w:pBdr/>
        <w:spacing/>
        <w:ind w:firstLine="0"/>
        <w:jc w:val="left"/>
        <w:rPr>
          <w:rFonts w:ascii="Arial" w:hAnsi="Arial" w:cs="Arial"/>
          <w:b/>
          <w:caps/>
          <w:sz w:val="18"/>
          <w:szCs w:val="28"/>
          <w:lang w:eastAsia="ar-SA"/>
        </w:rPr>
      </w:pPr>
      <w:r>
        <w:rPr>
          <w:rFonts w:ascii="Arial" w:hAnsi="Arial" w:cs="Arial"/>
          <w:b/>
          <w:caps/>
          <w:szCs w:val="28"/>
          <w:lang w:eastAsia="ar-SA"/>
        </w:rPr>
        <w:t xml:space="preserve">_____________________________________________________________</w:t>
      </w:r>
      <w:r>
        <w:rPr>
          <w:rFonts w:ascii="Arial" w:hAnsi="Arial" w:cs="Arial"/>
          <w:b/>
          <w:caps/>
          <w:sz w:val="18"/>
          <w:szCs w:val="28"/>
          <w:lang w:eastAsia="ar-SA"/>
        </w:rPr>
      </w:r>
    </w:p>
    <w:p>
      <w:pPr>
        <w:pStyle w:val="1140"/>
        <w:pBdr/>
        <w:spacing/>
        <w:ind w:firstLine="709"/>
        <w:rPr>
          <w:rFonts w:ascii="Arial" w:hAnsi="Arial" w:eastAsia="Arial" w:cs="Arial"/>
          <w:bCs/>
          <w:color w:val="000000"/>
          <w:szCs w:val="32"/>
          <w:highlight w:val="white"/>
        </w:rPr>
      </w:pPr>
      <w:r>
        <w:rPr>
          <w:rFonts w:ascii="Arial" w:hAnsi="Arial" w:eastAsia="Arial" w:cs="Arial"/>
          <w:color w:val="000000"/>
          <w:szCs w:val="32"/>
          <w:highlight w:val="white"/>
        </w:rPr>
        <w:t xml:space="preserve">МАТЕРИАЛЫ ГИДРОИЗОЛЯЦИОННЫЕ ГИБКИЕ РУЛОННЫЕ ПОЛИМЕРНЫЕ (ТЕРМОПЛАСТИЧНЫЕ И ЭЛАСТОМЕРНЫЕ)</w:t>
      </w:r>
      <w:r>
        <w:rPr>
          <w:rFonts w:ascii="Arial" w:hAnsi="Arial" w:eastAsia="Arial" w:cs="Arial"/>
          <w:bCs/>
          <w:color w:val="000000"/>
          <w:szCs w:val="32"/>
          <w:highlight w:val="white"/>
        </w:rPr>
      </w:r>
    </w:p>
    <w:p>
      <w:pPr>
        <w:pBdr/>
        <w:shd w:val="clear" w:color="auto" w:fill="ffffff"/>
        <w:spacing/>
        <w:ind w:firstLine="0"/>
        <w:jc w:val="center"/>
        <w:rPr>
          <w:rFonts w:ascii="Arial" w:hAnsi="Arial" w:cs="Arial"/>
          <w:b/>
          <w:bCs/>
          <w:sz w:val="22"/>
          <w:szCs w:val="24"/>
          <w:lang w:val="en-US" w:eastAsia="ar-SA"/>
        </w:rPr>
      </w:pPr>
      <w:r>
        <w:rPr>
          <w:rFonts w:ascii="Arial" w:hAnsi="Arial" w:cs="Arial"/>
          <w:b/>
          <w:bCs/>
          <w:sz w:val="24"/>
          <w:szCs w:val="28"/>
          <w:lang w:eastAsia="ar-SA"/>
        </w:rPr>
        <w:t xml:space="preserve">Общие</w:t>
      </w:r>
      <w:r>
        <w:rPr>
          <w:rFonts w:ascii="Arial" w:hAnsi="Arial" w:cs="Arial"/>
          <w:b/>
          <w:bCs/>
          <w:sz w:val="24"/>
          <w:szCs w:val="28"/>
          <w:lang w:val="en-US" w:eastAsia="ar-SA"/>
        </w:rPr>
        <w:t xml:space="preserve"> </w:t>
      </w:r>
      <w:r>
        <w:rPr>
          <w:rFonts w:ascii="Arial" w:hAnsi="Arial" w:cs="Arial"/>
          <w:b/>
          <w:bCs/>
          <w:sz w:val="24"/>
          <w:szCs w:val="28"/>
          <w:lang w:eastAsia="ar-SA"/>
        </w:rPr>
        <w:t xml:space="preserve">технические</w:t>
      </w:r>
      <w:r>
        <w:rPr>
          <w:rFonts w:ascii="Arial" w:hAnsi="Arial" w:cs="Arial"/>
          <w:b/>
          <w:bCs/>
          <w:sz w:val="24"/>
          <w:szCs w:val="28"/>
          <w:lang w:val="en-US" w:eastAsia="ar-SA"/>
        </w:rPr>
        <w:t xml:space="preserve"> </w:t>
      </w:r>
      <w:r>
        <w:rPr>
          <w:rFonts w:ascii="Arial" w:hAnsi="Arial" w:cs="Arial"/>
          <w:b/>
          <w:bCs/>
          <w:sz w:val="24"/>
          <w:szCs w:val="28"/>
          <w:lang w:eastAsia="ar-SA"/>
        </w:rPr>
        <w:t xml:space="preserve">условия</w:t>
      </w:r>
      <w:r>
        <w:rPr>
          <w:rFonts w:ascii="Arial" w:hAnsi="Arial" w:cs="Arial"/>
          <w:b/>
          <w:bCs/>
          <w:sz w:val="22"/>
          <w:szCs w:val="24"/>
          <w:lang w:val="en-US" w:eastAsia="ar-SA"/>
        </w:rPr>
      </w:r>
    </w:p>
    <w:p>
      <w:pPr>
        <w:pBdr/>
        <w:spacing/>
        <w:ind w:firstLine="0" w:left="709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en-US"/>
        </w:rPr>
        <w:t xml:space="preserve">Flexible roll waterproofing polymer materials (thermoplastic and elastomeric). </w:t>
      </w:r>
      <w:r>
        <w:rPr>
          <w:rFonts w:ascii="Arial" w:hAnsi="Arial" w:eastAsia="Arial" w:cs="Arial"/>
          <w:sz w:val="24"/>
          <w:szCs w:val="24"/>
        </w:rPr>
        <w:t xml:space="preserve">General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 xml:space="preserve">specifications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 w:line="160" w:lineRule="atLeast"/>
        <w:ind w:firstLine="0"/>
        <w:jc w:val="center"/>
        <w:rPr>
          <w:rFonts w:ascii="Arial" w:hAnsi="Arial" w:cs="Arial"/>
          <w:b/>
          <w:caps/>
          <w:sz w:val="12"/>
          <w:szCs w:val="12"/>
          <w:lang w:eastAsia="ar-SA"/>
        </w:rPr>
      </w:pPr>
      <w:r>
        <w:rPr>
          <w:rFonts w:ascii="Arial" w:hAnsi="Arial" w:cs="Arial"/>
          <w:b/>
          <w:caps/>
          <w:szCs w:val="28"/>
          <w:lang w:eastAsia="ar-SA"/>
        </w:rPr>
        <w:t xml:space="preserve">_____________________________________________________________</w:t>
      </w:r>
      <w:r>
        <w:rPr>
          <w:rFonts w:ascii="Arial" w:hAnsi="Arial" w:cs="Arial"/>
          <w:b/>
          <w:caps/>
          <w:sz w:val="12"/>
          <w:szCs w:val="12"/>
          <w:lang w:eastAsia="ar-SA"/>
        </w:rPr>
      </w:r>
    </w:p>
    <w:p>
      <w:pPr>
        <w:pBdr/>
        <w:spacing w:line="240" w:lineRule="auto"/>
        <w:ind w:firstLine="7020"/>
        <w:jc w:val="left"/>
        <w:rPr>
          <w:b/>
          <w:sz w:val="2"/>
          <w:szCs w:val="12"/>
          <w:lang w:eastAsia="ar-SA"/>
        </w:rPr>
      </w:pPr>
      <w:r>
        <w:rPr>
          <w:b/>
          <w:sz w:val="2"/>
          <w:szCs w:val="12"/>
          <w:lang w:eastAsia="ar-SA"/>
        </w:rPr>
      </w:r>
      <w:r>
        <w:rPr>
          <w:b/>
          <w:sz w:val="2"/>
          <w:szCs w:val="12"/>
          <w:lang w:eastAsia="ar-SA"/>
        </w:rPr>
      </w:r>
    </w:p>
    <w:p>
      <w:pPr>
        <w:pBdr/>
        <w:spacing w:before="120"/>
        <w:ind w:firstLine="5670"/>
        <w:jc w:val="left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 xml:space="preserve">Дата введения – </w:t>
      </w:r>
      <w:r>
        <w:rPr>
          <w:rFonts w:ascii="Arial" w:hAnsi="Arial" w:cs="Arial"/>
          <w:b/>
          <w:sz w:val="22"/>
          <w:szCs w:val="22"/>
          <w:lang w:eastAsia="ar-SA"/>
        </w:rPr>
      </w:r>
    </w:p>
    <w:p>
      <w:pPr>
        <w:pBdr/>
        <w:spacing/>
        <w:ind/>
        <w:rPr>
          <w:rFonts w:ascii="Arial" w:hAnsi="Arial" w:cs="Arial"/>
          <w:b/>
          <w:sz w:val="24"/>
          <w:szCs w:val="24"/>
        </w:rPr>
      </w:pPr>
      <w:r/>
      <w:bookmarkStart w:id="1" w:name="_Toc353812883"/>
      <w:r/>
      <w:bookmarkStart w:id="2" w:name="_Toc353812935"/>
      <w:r/>
      <w:r>
        <w:rPr>
          <w:rFonts w:ascii="Arial" w:hAnsi="Arial" w:cs="Arial"/>
          <w:b/>
          <w:sz w:val="24"/>
          <w:szCs w:val="24"/>
        </w:rPr>
      </w:r>
    </w:p>
    <w:p>
      <w:pPr>
        <w:pBdr/>
        <w:spacing w:after="240"/>
        <w:ind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1 Область применения</w:t>
      </w:r>
      <w:bookmarkEnd w:id="1"/>
      <w:r/>
      <w:bookmarkEnd w:id="2"/>
      <w:r/>
      <w:r>
        <w:rPr>
          <w:rFonts w:ascii="Arial" w:hAnsi="Arial" w:cs="Arial"/>
          <w:b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firstLine="480"/>
        <w:rPr>
          <w:rFonts w:ascii="Arial" w:hAnsi="Arial" w:cs="Arial"/>
          <w:sz w:val="22"/>
          <w:szCs w:val="22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Настоящий стандарт распространяется на гибкие рулонные полимерные (термопластичные и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) материалы (далее – материалы), предназначенные </w:t>
      </w:r>
      <w:r>
        <w:rPr>
          <w:rFonts w:ascii="Arial" w:hAnsi="Arial" w:eastAsia="Arial" w:cs="Arial"/>
          <w:sz w:val="24"/>
          <w:szCs w:val="24"/>
        </w:rPr>
        <w:t xml:space="preserve">для гидроизоляции зданий, в том числе от грунтовой влаги и воды</w:t>
      </w:r>
      <w:r>
        <w:rPr>
          <w:rFonts w:ascii="Arial" w:hAnsi="Arial" w:cs="Arial"/>
          <w:sz w:val="22"/>
          <w:szCs w:val="22"/>
        </w:rPr>
        <w:t xml:space="preserve">.</w:t>
      </w:r>
      <w:r>
        <w:rPr>
          <w:rFonts w:ascii="Arial" w:hAnsi="Arial" w:cs="Arial"/>
          <w:sz w:val="22"/>
          <w:szCs w:val="22"/>
        </w:rPr>
      </w:r>
    </w:p>
    <w:p>
      <w:pPr>
        <w:pBdr/>
        <w:spacing w:after="240" w:before="240"/>
        <w:ind/>
        <w:rPr>
          <w:rFonts w:ascii="Arial" w:hAnsi="Arial" w:cs="Arial"/>
          <w:b/>
          <w:szCs w:val="28"/>
        </w:rPr>
      </w:pPr>
      <w:r/>
      <w:bookmarkStart w:id="3" w:name="_Toc353812884"/>
      <w:r/>
      <w:bookmarkStart w:id="4" w:name="_Toc353812936"/>
      <w:r>
        <w:rPr>
          <w:rFonts w:ascii="Arial" w:hAnsi="Arial" w:cs="Arial"/>
          <w:b/>
          <w:szCs w:val="28"/>
        </w:rPr>
        <w:t xml:space="preserve">2 Нормативные ссылки</w:t>
      </w:r>
      <w:bookmarkEnd w:id="3"/>
      <w:r/>
      <w:bookmarkEnd w:id="4"/>
      <w:r/>
      <w:r>
        <w:rPr>
          <w:rFonts w:ascii="Arial" w:hAnsi="Arial" w:cs="Arial"/>
          <w:b/>
          <w:szCs w:val="28"/>
        </w:rPr>
      </w:r>
    </w:p>
    <w:p>
      <w:pPr>
        <w:pBdr/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настоящем</w:t>
      </w:r>
      <w:r>
        <w:rPr>
          <w:rFonts w:ascii="Arial" w:hAnsi="Arial" w:cs="Arial"/>
          <w:sz w:val="24"/>
          <w:szCs w:val="24"/>
        </w:rPr>
        <w:t xml:space="preserve"> стандарте использованы нормативные ссылки на следующие межгосударственные стандарты: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 w:firstLine="0"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 30244 Материалы </w:t>
      </w:r>
      <w:r>
        <w:rPr>
          <w:rFonts w:ascii="Arial" w:hAnsi="Arial" w:cs="Arial"/>
          <w:sz w:val="24"/>
          <w:szCs w:val="24"/>
        </w:rPr>
        <w:t xml:space="preserve">строительные</w:t>
      </w:r>
      <w:r>
        <w:rPr>
          <w:rFonts w:ascii="Arial" w:hAnsi="Arial" w:cs="Arial"/>
          <w:sz w:val="24"/>
          <w:szCs w:val="24"/>
        </w:rPr>
        <w:t xml:space="preserve">. Методы испытаний на горючесть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ГОСТ 30402 Материалы </w:t>
      </w:r>
      <w:r>
        <w:rPr>
          <w:rFonts w:ascii="Arial" w:hAnsi="Arial" w:cs="Arial"/>
          <w:sz w:val="24"/>
          <w:szCs w:val="24"/>
        </w:rPr>
        <w:t xml:space="preserve">строительные</w:t>
      </w:r>
      <w:r>
        <w:rPr>
          <w:rFonts w:ascii="Arial" w:hAnsi="Arial" w:cs="Arial"/>
          <w:sz w:val="24"/>
          <w:szCs w:val="24"/>
        </w:rPr>
        <w:t xml:space="preserve">. Метод испытания на воспламеняемость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ГОСТ 31897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Метод определения сопротивления динамическому продавливанию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ГОСТ 31898-1</w:t>
      </w:r>
      <w:r>
        <w:rPr>
          <w:rFonts w:ascii="Arial" w:hAnsi="Arial" w:eastAsia="Arial" w:cs="Arial"/>
          <w:sz w:val="24"/>
          <w:szCs w:val="24"/>
        </w:rPr>
        <w:t xml:space="preserve">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. Метод определения сопротивления </w:t>
      </w:r>
      <w:r>
        <w:rPr>
          <w:rFonts w:ascii="Arial" w:hAnsi="Arial" w:eastAsia="Arial" w:cs="Arial"/>
          <w:sz w:val="24"/>
          <w:szCs w:val="24"/>
        </w:rPr>
        <w:t xml:space="preserve">раздиру</w:t>
      </w:r>
      <w:r>
        <w:rPr>
          <w:rFonts w:ascii="Arial" w:hAnsi="Arial" w:eastAsia="Arial" w:cs="Arial"/>
          <w:sz w:val="24"/>
          <w:szCs w:val="24"/>
        </w:rPr>
        <w:t xml:space="preserve"> стержнем гвоздя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ГОСТ 31899-2</w:t>
      </w:r>
      <w:r>
        <w:rPr>
          <w:rFonts w:ascii="Arial" w:hAnsi="Arial" w:eastAsia="Arial" w:cs="Arial"/>
          <w:sz w:val="24"/>
          <w:szCs w:val="24"/>
        </w:rPr>
        <w:t xml:space="preserve">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Метод определения </w:t>
      </w:r>
      <w:r>
        <w:rPr>
          <w:rFonts w:ascii="Arial" w:hAnsi="Arial" w:eastAsia="Arial" w:cs="Arial"/>
          <w:sz w:val="24"/>
          <w:szCs w:val="24"/>
        </w:rPr>
        <w:t xml:space="preserve">деформативно</w:t>
      </w:r>
      <w:r>
        <w:rPr>
          <w:rFonts w:ascii="Arial" w:hAnsi="Arial" w:eastAsia="Arial" w:cs="Arial"/>
          <w:sz w:val="24"/>
          <w:szCs w:val="24"/>
        </w:rPr>
        <w:t xml:space="preserve">-прочностных свойств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  <w:highlight w:val="white"/>
        </w:rPr>
      </w:pPr>
      <w:r>
        <w:rPr>
          <w:rFonts w:ascii="Arial" w:hAnsi="Arial" w:eastAsia="Arial" w:cs="Arial"/>
          <w:sz w:val="24"/>
          <w:szCs w:val="24"/>
        </w:rPr>
        <w:t xml:space="preserve">ГОСТ 32318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Метод определения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паропроницаемости</w:t>
      </w:r>
      <w:r>
        <w:rPr>
          <w:rFonts w:ascii="Arial" w:hAnsi="Arial" w:eastAsia="Arial" w:cs="Arial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ГОСТ Е</w:t>
      </w:r>
      <w:r>
        <w:rPr>
          <w:rFonts w:ascii="Arial" w:hAnsi="Arial" w:eastAsia="Arial" w:cs="Arial"/>
          <w:sz w:val="24"/>
          <w:szCs w:val="24"/>
          <w:highlight w:val="white"/>
          <w:lang w:val="en-US"/>
        </w:rPr>
        <w:t xml:space="preserve">N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 1296</w:t>
      </w:r>
      <w:r>
        <w:rPr>
          <w:rFonts w:ascii="Arial" w:hAnsi="Arial" w:eastAsia="Arial" w:cs="Arial"/>
          <w:sz w:val="24"/>
          <w:szCs w:val="24"/>
        </w:rPr>
        <w:t xml:space="preserve">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Метод искусственного термического старения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highlight w:val="white"/>
        </w:rPr>
        <w:t xml:space="preserve">ГОСТ Е</w:t>
      </w:r>
      <w:r>
        <w:rPr>
          <w:rFonts w:ascii="Arial" w:hAnsi="Arial" w:eastAsia="Arial" w:cs="Arial"/>
          <w:sz w:val="24"/>
          <w:szCs w:val="24"/>
          <w:highlight w:val="white"/>
          <w:lang w:val="en-US"/>
        </w:rPr>
        <w:t xml:space="preserve">N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 1849-2</w:t>
      </w:r>
      <w:r>
        <w:rPr>
          <w:rFonts w:ascii="Arial" w:hAnsi="Arial" w:eastAsia="Arial" w:cs="Arial"/>
          <w:sz w:val="24"/>
          <w:szCs w:val="24"/>
        </w:rPr>
        <w:t xml:space="preserve"> </w:t>
      </w:r>
      <w:r>
        <w:rPr>
          <w:rFonts w:ascii="Arial" w:hAnsi="Arial" w:cs="Arial"/>
          <w:sz w:val="24"/>
          <w:szCs w:val="24"/>
        </w:rPr>
        <w:t xml:space="preserve">Материалы </w:t>
      </w:r>
      <w:r>
        <w:rPr>
          <w:rFonts w:ascii="Arial" w:hAnsi="Arial" w:cs="Arial"/>
          <w:sz w:val="24"/>
          <w:szCs w:val="24"/>
        </w:rPr>
        <w:t xml:space="preserve">кровельные</w:t>
      </w:r>
      <w:r>
        <w:rPr>
          <w:rFonts w:ascii="Arial" w:hAnsi="Arial" w:cs="Arial"/>
          <w:sz w:val="24"/>
          <w:szCs w:val="24"/>
        </w:rPr>
        <w:t xml:space="preserve"> и гидроизоляционные гибкие полимерные (термопластичные или </w:t>
      </w:r>
      <w:r>
        <w:rPr>
          <w:rFonts w:ascii="Arial" w:hAnsi="Arial" w:cs="Arial"/>
          <w:sz w:val="24"/>
          <w:szCs w:val="24"/>
        </w:rPr>
        <w:t xml:space="preserve">эластомерные</w:t>
      </w:r>
      <w:r>
        <w:rPr>
          <w:rFonts w:ascii="Arial" w:hAnsi="Arial" w:cs="Arial"/>
          <w:sz w:val="24"/>
          <w:szCs w:val="24"/>
        </w:rPr>
        <w:t xml:space="preserve">). Методы определения толщины и массы на единицу площади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ГОСТ Е</w:t>
      </w:r>
      <w:r>
        <w:rPr>
          <w:rFonts w:ascii="Arial" w:hAnsi="Arial" w:eastAsia="Arial" w:cs="Arial"/>
          <w:sz w:val="24"/>
          <w:szCs w:val="24"/>
          <w:highlight w:val="white"/>
          <w:lang w:val="en-US"/>
        </w:rPr>
        <w:t xml:space="preserve">N</w:t>
      </w:r>
      <w:r>
        <w:rPr>
          <w:rFonts w:ascii="Arial" w:hAnsi="Arial" w:eastAsia="Arial" w:cs="Arial"/>
          <w:sz w:val="24"/>
          <w:szCs w:val="24"/>
        </w:rPr>
        <w:t xml:space="preserve"> 1850-2 </w:t>
      </w:r>
      <w:r>
        <w:rPr>
          <w:rFonts w:ascii="Arial" w:hAnsi="Arial" w:cs="Arial"/>
          <w:sz w:val="24"/>
          <w:szCs w:val="24"/>
        </w:rPr>
        <w:t xml:space="preserve">Материалы </w:t>
      </w:r>
      <w:r>
        <w:rPr>
          <w:rFonts w:ascii="Arial" w:hAnsi="Arial" w:cs="Arial"/>
          <w:sz w:val="24"/>
          <w:szCs w:val="24"/>
        </w:rPr>
        <w:t xml:space="preserve">кровельные</w:t>
      </w:r>
      <w:r>
        <w:rPr>
          <w:rFonts w:ascii="Arial" w:hAnsi="Arial" w:cs="Arial"/>
          <w:sz w:val="24"/>
          <w:szCs w:val="24"/>
        </w:rPr>
        <w:t xml:space="preserve"> и гидроизоляционные гибкие полимерные (термопластичные или </w:t>
      </w:r>
      <w:r>
        <w:rPr>
          <w:rFonts w:ascii="Arial" w:hAnsi="Arial" w:cs="Arial"/>
          <w:sz w:val="24"/>
          <w:szCs w:val="24"/>
        </w:rPr>
        <w:t xml:space="preserve">эластомерные</w:t>
      </w:r>
      <w:r>
        <w:rPr>
          <w:rFonts w:ascii="Arial" w:hAnsi="Arial" w:cs="Arial"/>
          <w:sz w:val="24"/>
          <w:szCs w:val="24"/>
        </w:rPr>
        <w:t xml:space="preserve">). Метод определения видимых дефектов</w:t>
      </w:r>
      <w:r>
        <w:rPr>
          <w:rFonts w:ascii="Arial" w:hAnsi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ГОСТ </w:t>
      </w:r>
      <w:r>
        <w:rPr>
          <w:rFonts w:ascii="Arial" w:hAnsi="Arial" w:eastAsia="Arial" w:cs="Arial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sz w:val="24"/>
          <w:szCs w:val="24"/>
        </w:rPr>
        <w:t xml:space="preserve"> 1928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Метод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определения водонепроницаемости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ГОСТ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rFonts w:ascii="Arial" w:hAnsi="Arial" w:eastAsia="Arial" w:cs="Arial"/>
          <w:color w:val="000000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 12730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Материалы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). Метод </w:t>
      </w:r>
      <w:r>
        <w:rPr>
          <w:rFonts w:ascii="Arial" w:hAnsi="Arial" w:eastAsia="Arial" w:cs="Arial"/>
          <w:sz w:val="24"/>
          <w:szCs w:val="24"/>
        </w:rPr>
        <w:t xml:space="preserve">определения сопротивления статическому продавливанию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tabs>
          <w:tab w:val="left" w:leader="none" w:pos="709"/>
        </w:tabs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ГОСТ EN 13416 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</w:t>
      </w:r>
      <w:r>
        <w:rPr>
          <w:rFonts w:ascii="Arial" w:hAnsi="Arial" w:eastAsia="Arial" w:cs="Arial"/>
          <w:sz w:val="24"/>
          <w:szCs w:val="24"/>
        </w:rPr>
        <w:t xml:space="preserve">битумосодержащие</w:t>
      </w:r>
      <w:r>
        <w:rPr>
          <w:rFonts w:ascii="Arial" w:hAnsi="Arial" w:eastAsia="Arial" w:cs="Arial"/>
          <w:sz w:val="24"/>
          <w:szCs w:val="24"/>
        </w:rPr>
        <w:t xml:space="preserve"> и полимерные (термопластичные или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Правила отбора образцов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ГОСТ EN 1848-2 Материалы </w:t>
      </w:r>
      <w:r>
        <w:rPr>
          <w:rFonts w:ascii="Arial" w:hAnsi="Arial" w:eastAsia="Arial" w:cs="Arial"/>
        </w:rPr>
        <w:t xml:space="preserve">кровельные</w:t>
      </w:r>
      <w:r>
        <w:rPr>
          <w:rFonts w:ascii="Arial" w:hAnsi="Arial" w:eastAsia="Arial" w:cs="Arial"/>
        </w:rPr>
        <w:t xml:space="preserve"> и гидроизоляционные гибкие полимерные (термопластичные или </w:t>
      </w:r>
      <w:r>
        <w:rPr>
          <w:rFonts w:ascii="Arial" w:hAnsi="Arial" w:eastAsia="Arial" w:cs="Arial"/>
        </w:rPr>
        <w:t xml:space="preserve">эластомерные</w:t>
      </w:r>
      <w:r>
        <w:rPr>
          <w:rFonts w:ascii="Arial" w:hAnsi="Arial" w:eastAsia="Arial" w:cs="Arial"/>
        </w:rPr>
        <w:t xml:space="preserve">). Методы определения длины, ширины, прямолинейности и плоскостности (шифр </w:t>
      </w:r>
      <w:r>
        <w:rPr>
          <w:rFonts w:ascii="Arial" w:hAnsi="Arial" w:eastAsia="Arial" w:cs="Arial"/>
          <w:color w:val="000000" w:themeColor="text1"/>
          <w:highlight w:val="white"/>
        </w:rPr>
        <w:t xml:space="preserve">1.13.144-2.360.23</w:t>
      </w:r>
      <w:r>
        <w:rPr>
          <w:rFonts w:ascii="Arial" w:hAnsi="Arial" w:eastAsia="Arial" w:cs="Arial"/>
          <w:color w:val="000000" w:themeColor="text1"/>
        </w:rPr>
        <w:t xml:space="preserve">)</w:t>
      </w:r>
      <w:r>
        <w:rPr>
          <w:rFonts w:ascii="Arial" w:hAnsi="Arial" w:cs="Arial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ГОСТ EN 1847  Материалы </w:t>
      </w:r>
      <w:r>
        <w:rPr>
          <w:rFonts w:ascii="Arial" w:hAnsi="Arial" w:eastAsia="Arial" w:cs="Arial"/>
        </w:rPr>
        <w:t xml:space="preserve">кровельные</w:t>
      </w:r>
      <w:r>
        <w:rPr>
          <w:rFonts w:ascii="Arial" w:hAnsi="Arial" w:eastAsia="Arial" w:cs="Arial"/>
        </w:rPr>
        <w:t xml:space="preserve"> и гидроизоляционные гибкие полимерные (термопластичные и </w:t>
      </w:r>
      <w:r>
        <w:rPr>
          <w:rFonts w:ascii="Arial" w:hAnsi="Arial" w:eastAsia="Arial" w:cs="Arial"/>
        </w:rPr>
        <w:t xml:space="preserve">эластомерные</w:t>
      </w:r>
      <w:r>
        <w:rPr>
          <w:rFonts w:ascii="Arial" w:hAnsi="Arial" w:eastAsia="Arial" w:cs="Arial"/>
        </w:rPr>
        <w:t xml:space="preserve">). Метод определения стойкости к воздействию жидких химических сред, содержащих воду (шифр </w:t>
      </w:r>
      <w:r>
        <w:rPr>
          <w:rFonts w:ascii="Arial" w:hAnsi="Arial" w:eastAsia="Arial" w:cs="Arial"/>
          <w:color w:val="000000" w:themeColor="text1"/>
          <w:highlight w:val="white"/>
        </w:rPr>
        <w:t xml:space="preserve">1.13.144-2.363.23</w:t>
      </w:r>
      <w:r>
        <w:rPr>
          <w:rFonts w:ascii="Arial" w:hAnsi="Arial" w:eastAsia="Arial" w:cs="Arial"/>
          <w:color w:val="000000" w:themeColor="text1"/>
        </w:rPr>
        <w:t xml:space="preserve">)</w:t>
      </w:r>
      <w:r>
        <w:rPr>
          <w:rFonts w:ascii="Arial" w:hAnsi="Arial" w:cs="Arial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ГОСТ ХХХХ (EN 12317-2:2010) Материалы </w:t>
      </w:r>
      <w:r>
        <w:rPr>
          <w:rFonts w:ascii="Arial" w:hAnsi="Arial" w:eastAsia="Arial" w:cs="Arial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sz w:val="24"/>
          <w:szCs w:val="24"/>
        </w:rPr>
        <w:t xml:space="preserve"> и гидроизоляционные гибкие полимерные (термопластичные и </w:t>
      </w:r>
      <w:r>
        <w:rPr>
          <w:rFonts w:ascii="Arial" w:hAnsi="Arial" w:eastAsia="Arial" w:cs="Arial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sz w:val="24"/>
          <w:szCs w:val="24"/>
        </w:rPr>
        <w:t xml:space="preserve">). Метод определения прочности на сдвиг сварного и клеевого соединений (шифр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1.13.144-2.364.23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)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ГОСТ </w:t>
      </w:r>
      <w:r>
        <w:rPr>
          <w:rFonts w:ascii="Arial" w:hAnsi="Arial" w:eastAsia="Arial" w:cs="Arial"/>
          <w:bCs/>
          <w:color w:val="000000"/>
          <w:sz w:val="24"/>
          <w:szCs w:val="24"/>
          <w:highlight w:val="white"/>
        </w:rPr>
        <w:t xml:space="preserve">EN 1548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атериалы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кровельные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 гидроизоляционные гибкие полимерные (термопластичные 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эластомерные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). Метод определения стойкости к воздействию битума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/>
        <w:spacing w:line="240" w:lineRule="auto"/>
        <w:ind w:firstLine="51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</w:r>
      <w:r>
        <w:rPr>
          <w:rFonts w:ascii="Arial" w:hAnsi="Arial" w:cs="Arial"/>
          <w:sz w:val="12"/>
          <w:szCs w:val="12"/>
        </w:rPr>
      </w:r>
    </w:p>
    <w:p>
      <w:pPr>
        <w:pBdr/>
        <w:spacing w:after="120" w:before="120"/>
        <w:ind/>
        <w:rPr>
          <w:rFonts w:ascii="Arial" w:hAnsi="Arial" w:cs="Arial"/>
          <w:bCs/>
          <w:sz w:val="22"/>
          <w:szCs w:val="22"/>
        </w:rPr>
      </w:pPr>
      <w:r>
        <w:rPr>
          <w:rFonts w:ascii="Arial" w:hAnsi="Arial" w:eastAsia="Calibri" w:cs="Arial"/>
          <w:bCs/>
          <w:spacing w:val="40"/>
          <w:sz w:val="22"/>
          <w:szCs w:val="22"/>
          <w:lang w:eastAsia="en-US"/>
        </w:rPr>
        <w:t xml:space="preserve">Примечание</w:t>
      </w:r>
      <w:r>
        <w:rPr>
          <w:rFonts w:ascii="Arial" w:hAnsi="Arial" w:eastAsia="Calibri" w:cs="Arial"/>
          <w:bCs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—</w:t>
      </w:r>
      <w:r>
        <w:rPr>
          <w:rFonts w:ascii="Arial" w:hAnsi="Arial" w:eastAsia="Calibri" w:cs="Arial"/>
          <w:bCs/>
          <w:sz w:val="22"/>
          <w:szCs w:val="22"/>
          <w:lang w:eastAsia="en-US"/>
        </w:rPr>
        <w:t xml:space="preserve"> При пользовании настоящим стандартом целесообразно проверить действие ссылочных стандартов </w:t>
      </w:r>
      <w:r>
        <w:rPr>
          <w:rFonts w:ascii="Arial" w:hAnsi="Arial" w:cs="Arial"/>
          <w:bCs/>
          <w:sz w:val="22"/>
          <w:szCs w:val="22"/>
        </w:rPr>
        <w:t xml:space="preserve">и классификаторов на официальном интернет-сайте Межгосударственного совета по стандартизации, метрологии и сертификации </w:t>
      </w:r>
      <w:r>
        <w:rPr>
          <w:rFonts w:ascii="Arial" w:hAnsi="Arial" w:cs="Arial"/>
          <w:bCs/>
          <w:sz w:val="22"/>
          <w:szCs w:val="22"/>
        </w:rPr>
        <w:t xml:space="preserve">(</w:t>
      </w:r>
      <w:hyperlink r:id="rId21" w:tooltip="http://www.easc.by" w:history="1">
        <w:r>
          <w:rPr>
            <w:rStyle w:val="1155"/>
            <w:rFonts w:ascii="Arial" w:hAnsi="Arial" w:cs="Arial"/>
            <w:bCs/>
            <w:sz w:val="22"/>
            <w:szCs w:val="22"/>
            <w:lang w:val="en-US"/>
          </w:rPr>
          <w:t xml:space="preserve">www</w:t>
        </w:r>
        <w:r>
          <w:rPr>
            <w:rStyle w:val="1155"/>
            <w:rFonts w:ascii="Arial" w:hAnsi="Arial" w:cs="Arial"/>
            <w:bCs/>
            <w:sz w:val="22"/>
            <w:szCs w:val="22"/>
          </w:rPr>
          <w:t xml:space="preserve">.</w:t>
        </w:r>
        <w:r>
          <w:rPr>
            <w:rStyle w:val="1155"/>
            <w:rFonts w:ascii="Arial" w:hAnsi="Arial" w:cs="Arial"/>
            <w:bCs/>
            <w:sz w:val="22"/>
            <w:szCs w:val="22"/>
            <w:lang w:val="en-US"/>
          </w:rPr>
          <w:t xml:space="preserve">easc</w:t>
        </w:r>
        <w:r>
          <w:rPr>
            <w:rStyle w:val="1155"/>
            <w:rFonts w:ascii="Arial" w:hAnsi="Arial" w:cs="Arial"/>
            <w:bCs/>
            <w:sz w:val="22"/>
            <w:szCs w:val="22"/>
          </w:rPr>
          <w:t xml:space="preserve">.</w:t>
        </w:r>
        <w:r>
          <w:rPr>
            <w:rStyle w:val="1155"/>
            <w:rFonts w:ascii="Arial" w:hAnsi="Arial" w:cs="Arial"/>
            <w:bCs/>
            <w:sz w:val="22"/>
            <w:szCs w:val="22"/>
            <w:lang w:val="en-US"/>
          </w:rPr>
          <w:t xml:space="preserve">by</w:t>
        </w:r>
      </w:hyperlink>
      <w:r>
        <w:rPr>
          <w:rFonts w:ascii="Arial" w:hAnsi="Arial" w:cs="Arial"/>
          <w:bCs/>
          <w:sz w:val="22"/>
          <w:szCs w:val="22"/>
        </w:rPr>
        <w:t xml:space="preserve">) или по указателям национальных стандартов, издаваемым</w:t>
      </w:r>
      <w:r>
        <w:rPr>
          <w:rFonts w:ascii="Arial" w:hAnsi="Arial" w:cs="Arial"/>
          <w:bCs/>
          <w:sz w:val="22"/>
          <w:szCs w:val="22"/>
        </w:rPr>
        <w:t xml:space="preserve">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</w:t>
      </w:r>
      <w:r>
        <w:rPr>
          <w:rFonts w:ascii="Arial" w:hAnsi="Arial" w:cs="Arial"/>
          <w:bCs/>
          <w:sz w:val="22"/>
          <w:szCs w:val="22"/>
        </w:rPr>
        <w:t xml:space="preserve">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</w:t>
      </w:r>
      <w:r>
        <w:rPr>
          <w:rFonts w:ascii="Arial" w:hAnsi="Arial" w:cs="Arial"/>
          <w:bCs/>
          <w:sz w:val="22"/>
          <w:szCs w:val="22"/>
        </w:rPr>
        <w:t xml:space="preserve">изменение, затрагивающее положение, на которое дана ссылка, то это положение применяется без учета данного изменения. Если ссылочный документ отменен без замены, то положение, в котором дана ссылка на него, применяется в части, не затрагивающей эту ссылку.</w:t>
      </w:r>
      <w:r>
        <w:rPr>
          <w:rFonts w:ascii="Arial" w:hAnsi="Arial" w:cs="Arial"/>
          <w:bCs/>
          <w:sz w:val="22"/>
          <w:szCs w:val="22"/>
        </w:rPr>
      </w:r>
    </w:p>
    <w:p>
      <w:pPr>
        <w:pBdr/>
        <w:spacing w:after="240" w:before="240"/>
        <w:ind/>
        <w:rPr>
          <w:rFonts w:ascii="Arial" w:hAnsi="Arial" w:cs="Arial"/>
          <w:b/>
          <w:szCs w:val="28"/>
        </w:rPr>
      </w:pPr>
      <w:r/>
      <w:bookmarkStart w:id="5" w:name="_Toc353812885"/>
      <w:r/>
      <w:bookmarkStart w:id="6" w:name="_Toc353812937"/>
      <w:r>
        <w:rPr>
          <w:rFonts w:ascii="Arial" w:hAnsi="Arial" w:cs="Arial"/>
          <w:b/>
          <w:szCs w:val="28"/>
        </w:rPr>
        <w:t xml:space="preserve">3 Термины и определения</w:t>
      </w:r>
      <w:bookmarkEnd w:id="5"/>
      <w:r/>
      <w:bookmarkEnd w:id="6"/>
      <w:r/>
      <w:r>
        <w:rPr>
          <w:rFonts w:ascii="Arial" w:hAnsi="Arial" w:cs="Arial"/>
          <w:b/>
          <w:szCs w:val="28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настоящем</w:t>
      </w:r>
      <w:r>
        <w:rPr>
          <w:rFonts w:ascii="Arial" w:hAnsi="Arial" w:eastAsia="Arial" w:cs="Arial"/>
          <w:sz w:val="24"/>
          <w:szCs w:val="24"/>
        </w:rPr>
        <w:t xml:space="preserve"> стандарте применены термины по </w:t>
      </w:r>
      <w:r>
        <w:rPr>
          <w:rFonts w:ascii="Arial" w:hAnsi="Arial" w:cs="Arial"/>
          <w:sz w:val="24"/>
          <w:szCs w:val="24"/>
        </w:rPr>
        <w:t xml:space="preserve">ГОСТ EN 13416, а также </w:t>
      </w:r>
      <w:r>
        <w:rPr>
          <w:rFonts w:ascii="Arial" w:hAnsi="Arial" w:eastAsia="Arial" w:cs="Arial"/>
          <w:sz w:val="24"/>
          <w:szCs w:val="24"/>
        </w:rPr>
        <w:t xml:space="preserve">следующие термины с соответствующими определениями: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3.1</w:t>
      </w:r>
      <w:r>
        <w:rPr>
          <w:rFonts w:ascii="Arial" w:hAnsi="Arial" w:eastAsia="Arial" w:cs="Arial"/>
          <w:b/>
          <w:sz w:val="24"/>
          <w:szCs w:val="24"/>
        </w:rPr>
        <w:t xml:space="preserve"> гидроизоляционная мембрана с функцией </w:t>
      </w:r>
      <w:r>
        <w:rPr>
          <w:rFonts w:ascii="Arial" w:hAnsi="Arial" w:eastAsia="Arial" w:cs="Arial"/>
          <w:b/>
          <w:sz w:val="24"/>
          <w:szCs w:val="24"/>
        </w:rPr>
        <w:t xml:space="preserve">водозащиты</w:t>
      </w:r>
      <w:r>
        <w:rPr>
          <w:rFonts w:ascii="Arial" w:hAnsi="Arial" w:eastAsia="Arial" w:cs="Arial"/>
          <w:b/>
          <w:sz w:val="24"/>
          <w:szCs w:val="24"/>
        </w:rPr>
        <w:t xml:space="preserve">: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Гибкий рулонный полимерный </w:t>
      </w:r>
      <w:r>
        <w:rPr>
          <w:rFonts w:ascii="Arial" w:hAnsi="Arial" w:eastAsia="Arial" w:cs="Arial"/>
          <w:sz w:val="24"/>
          <w:szCs w:val="24"/>
        </w:rPr>
        <w:t xml:space="preserve">материал (термопластичный или </w:t>
      </w:r>
      <w:r>
        <w:rPr>
          <w:rFonts w:ascii="Arial" w:hAnsi="Arial" w:eastAsia="Arial" w:cs="Arial"/>
          <w:sz w:val="24"/>
          <w:szCs w:val="24"/>
        </w:rPr>
        <w:t xml:space="preserve">эластомерный</w:t>
      </w:r>
      <w:r>
        <w:rPr>
          <w:rFonts w:ascii="Arial" w:hAnsi="Arial" w:eastAsia="Arial" w:cs="Arial"/>
          <w:sz w:val="24"/>
          <w:szCs w:val="24"/>
        </w:rPr>
        <w:t xml:space="preserve">), который используется для предотвращения проникновения воды без гидростатического давления из грунта внутрь строительной конструкции.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3.2</w:t>
      </w:r>
      <w:r>
        <w:rPr>
          <w:rFonts w:ascii="Arial" w:hAnsi="Arial" w:eastAsia="Arial" w:cs="Arial"/>
          <w:b/>
          <w:sz w:val="24"/>
          <w:szCs w:val="24"/>
        </w:rPr>
        <w:t xml:space="preserve"> гидроизоляционная мембрана с функцией </w:t>
      </w:r>
      <w:r>
        <w:rPr>
          <w:rFonts w:ascii="Arial" w:hAnsi="Arial" w:eastAsia="Arial" w:cs="Arial"/>
          <w:b/>
          <w:sz w:val="24"/>
          <w:szCs w:val="24"/>
        </w:rPr>
        <w:t xml:space="preserve">водозащиты</w:t>
      </w:r>
      <w:r>
        <w:rPr>
          <w:rFonts w:ascii="Arial" w:hAnsi="Arial" w:eastAsia="Arial" w:cs="Arial"/>
          <w:b/>
          <w:sz w:val="24"/>
          <w:szCs w:val="24"/>
        </w:rPr>
        <w:t xml:space="preserve">, вентиляции или дренажа: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Гибкий рулонный полимерный </w:t>
      </w:r>
      <w:r>
        <w:rPr>
          <w:rFonts w:ascii="Arial" w:hAnsi="Arial" w:eastAsia="Arial" w:cs="Arial"/>
          <w:sz w:val="24"/>
          <w:szCs w:val="24"/>
        </w:rPr>
        <w:t xml:space="preserve">материал (термопластичный или </w:t>
      </w:r>
      <w:r>
        <w:rPr>
          <w:rFonts w:ascii="Arial" w:hAnsi="Arial" w:eastAsia="Arial" w:cs="Arial"/>
          <w:sz w:val="24"/>
          <w:szCs w:val="24"/>
        </w:rPr>
        <w:t xml:space="preserve">эластомерный</w:t>
      </w:r>
      <w:r>
        <w:rPr>
          <w:rFonts w:ascii="Arial" w:hAnsi="Arial" w:eastAsia="Arial" w:cs="Arial"/>
          <w:sz w:val="24"/>
          <w:szCs w:val="24"/>
        </w:rPr>
        <w:t xml:space="preserve">), который используется для предотвращения проникновения воды без гидростатического давления из грунта внутрь строительной конструкции, которая позволяет водяному пару или воде в жидкой форме свободно перемещаться между мембраной и другими конструкциями.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3.3</w:t>
      </w:r>
      <w:r>
        <w:rPr>
          <w:rFonts w:ascii="Arial" w:hAnsi="Arial" w:eastAsia="Arial" w:cs="Arial"/>
          <w:b/>
          <w:sz w:val="24"/>
          <w:szCs w:val="24"/>
        </w:rPr>
        <w:t xml:space="preserve"> 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гидроизоляционная мембрана с функцией защиты от напорных грунтовых вод</w:t>
      </w:r>
      <w:r>
        <w:rPr>
          <w:rFonts w:ascii="Arial" w:hAnsi="Arial" w:eastAsia="Arial" w:cs="Arial"/>
          <w:b/>
          <w:bCs/>
          <w:sz w:val="24"/>
          <w:szCs w:val="24"/>
        </w:rPr>
        <w:t xml:space="preserve">: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Гибкий рулонный полимерный </w:t>
      </w:r>
      <w:r>
        <w:rPr>
          <w:rFonts w:ascii="Arial" w:hAnsi="Arial" w:eastAsia="Arial" w:cs="Arial"/>
          <w:sz w:val="24"/>
          <w:szCs w:val="24"/>
        </w:rPr>
        <w:t xml:space="preserve">материал (термопластичный или </w:t>
      </w:r>
      <w:r>
        <w:rPr>
          <w:rFonts w:ascii="Arial" w:hAnsi="Arial" w:eastAsia="Arial" w:cs="Arial"/>
          <w:sz w:val="24"/>
          <w:szCs w:val="24"/>
        </w:rPr>
        <w:t xml:space="preserve">эластомерный</w:t>
      </w:r>
      <w:r>
        <w:rPr>
          <w:rFonts w:ascii="Arial" w:hAnsi="Arial" w:eastAsia="Arial" w:cs="Arial"/>
          <w:sz w:val="24"/>
          <w:szCs w:val="24"/>
        </w:rPr>
        <w:t xml:space="preserve">), который используется для предотвращения проникновения воды в жидкой форме под гидростатическим давлением из грунта во внутреннюю часть строительной конструкции или из одной секции конструкции в другую.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</w:rPr>
      </w:r>
      <w:r>
        <w:rPr>
          <w:rFonts w:ascii="Arial" w:hAnsi="Arial" w:eastAsia="Arial" w:cs="Arial"/>
          <w:b/>
          <w:bCs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</w:rPr>
      </w:r>
      <w:r>
        <w:rPr>
          <w:rFonts w:ascii="Arial" w:hAnsi="Arial" w:eastAsia="Arial" w:cs="Arial"/>
          <w:b/>
          <w:bCs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</w:rPr>
      </w:r>
      <w:r>
        <w:rPr>
          <w:rFonts w:ascii="Arial" w:hAnsi="Arial" w:eastAsia="Arial" w:cs="Arial"/>
          <w:b/>
          <w:bCs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sz w:val="24"/>
          <w:szCs w:val="24"/>
        </w:rPr>
      </w:r>
      <w:r>
        <w:rPr>
          <w:rFonts w:ascii="Arial" w:hAnsi="Arial" w:eastAsia="Arial" w:cs="Arial"/>
          <w:b/>
          <w:bCs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3.4</w:t>
      </w:r>
      <w:r>
        <w:rPr>
          <w:rFonts w:ascii="Arial" w:hAnsi="Arial" w:eastAsia="Arial" w:cs="Arial"/>
          <w:b/>
          <w:sz w:val="24"/>
          <w:szCs w:val="24"/>
        </w:rPr>
        <w:t xml:space="preserve"> </w:t>
      </w:r>
      <w:r>
        <w:rPr>
          <w:rFonts w:ascii="Arial" w:hAnsi="Arial" w:eastAsia="Arial" w:cs="Arial"/>
          <w:b/>
          <w:bCs/>
          <w:sz w:val="24"/>
          <w:szCs w:val="24"/>
        </w:rPr>
      </w:r>
    </w:p>
    <w:tbl>
      <w:tblPr>
        <w:tblStyle w:val="1130"/>
        <w:tblW w:w="0" w:type="auto"/>
        <w:tblBorders/>
        <w:tblLook w:val="04A0" w:firstRow="1" w:lastRow="0" w:firstColumn="1" w:lastColumn="0" w:noHBand="0" w:noVBand="1"/>
      </w:tblPr>
      <w:tblGrid>
        <w:gridCol w:w="9627"/>
      </w:tblGrid>
      <w:tr>
        <w:trPr/>
        <w:tc>
          <w:tcPr>
            <w:tcBorders/>
            <w:tcW w:w="9627" w:type="dxa"/>
            <w:textDirection w:val="lrTb"/>
            <w:noWrap w:val="false"/>
          </w:tcPr>
          <w:p>
            <w:pPr>
              <w:pBdr/>
              <w:spacing/>
              <w:ind w:firstLine="68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предельное значение показателя, установленное производителем;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 ПЗП (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manufacturer's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limiting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value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, MLV): Значение верхнего или нижнего предела характеристики, которому должна соответствовать продукция при испытании, установленное производителем с учетом требований настоящего стандарта.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</w:r>
          </w:p>
          <w:p>
            <w:pPr>
              <w:pBdr/>
              <w:spacing/>
              <w:ind w:firstLine="680"/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Arial" w:hAnsi="Arial" w:eastAsia="Arial" w:cs="Arial"/>
                <w:bCs/>
                <w:sz w:val="24"/>
                <w:szCs w:val="24"/>
              </w:rPr>
              <w:t xml:space="preserve">ГОСТ 32805–2014, статья 3.11</w:t>
            </w: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</w:r>
          </w:p>
        </w:tc>
      </w:tr>
    </w:tbl>
    <w:p>
      <w:pPr>
        <w:pBdr/>
        <w:spacing/>
        <w:ind w:firstLine="680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3.5</w:t>
      </w:r>
      <w:r>
        <w:rPr>
          <w:rFonts w:ascii="Arial" w:hAnsi="Arial" w:eastAsia="Arial" w:cs="Arial"/>
          <w:b/>
          <w:sz w:val="24"/>
          <w:szCs w:val="24"/>
        </w:rPr>
        <w:t xml:space="preserve"> </w:t>
      </w:r>
      <w:r>
        <w:rPr>
          <w:rFonts w:ascii="Arial" w:hAnsi="Arial" w:eastAsia="Arial" w:cs="Arial"/>
          <w:b/>
          <w:sz w:val="24"/>
          <w:szCs w:val="24"/>
        </w:rPr>
      </w:r>
    </w:p>
    <w:tbl>
      <w:tblPr>
        <w:tblStyle w:val="1130"/>
        <w:tblW w:w="0" w:type="auto"/>
        <w:tblBorders/>
        <w:tblLook w:val="04A0" w:firstRow="1" w:lastRow="0" w:firstColumn="1" w:lastColumn="0" w:noHBand="0" w:noVBand="1"/>
      </w:tblPr>
      <w:tblGrid>
        <w:gridCol w:w="9627"/>
      </w:tblGrid>
      <w:tr>
        <w:trPr/>
        <w:tc>
          <w:tcPr>
            <w:tcBorders/>
            <w:tcW w:w="9627" w:type="dxa"/>
            <w:textDirection w:val="lrTb"/>
            <w:noWrap w:val="false"/>
          </w:tcPr>
          <w:p>
            <w:pPr>
              <w:pBdr/>
              <w:spacing/>
              <w:ind w:firstLine="680"/>
              <w:rPr>
                <w:rFonts w:ascii="Arial" w:hAnsi="Arial" w:eastAsia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 xml:space="preserve">декларированное производителем значение;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 ДЗП (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manufacturer's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declared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value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, MDV): Значение характеристики, декларированное производителем, с декларированными предельными отклонениями.</w:t>
            </w:r>
            <w:r>
              <w:rPr>
                <w:rFonts w:ascii="Arial" w:hAnsi="Arial" w:eastAsia="Arial" w:cs="Arial"/>
                <w:sz w:val="24"/>
                <w:szCs w:val="24"/>
              </w:rPr>
            </w:r>
          </w:p>
          <w:p>
            <w:pPr>
              <w:pBdr/>
              <w:spacing/>
              <w:ind w:firstLine="680"/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  <w:t xml:space="preserve">[</w:t>
            </w:r>
            <w:r>
              <w:rPr>
                <w:rFonts w:ascii="Arial" w:hAnsi="Arial" w:eastAsia="Arial" w:cs="Arial"/>
                <w:bCs/>
                <w:sz w:val="24"/>
                <w:szCs w:val="24"/>
              </w:rPr>
              <w:t xml:space="preserve">ГОСТ 32805–2014, статья 3.12</w:t>
            </w: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  <w:t xml:space="preserve">]</w:t>
            </w:r>
            <w:r>
              <w:rPr>
                <w:rFonts w:ascii="Arial" w:hAnsi="Arial" w:eastAsia="Arial" w:cs="Arial"/>
                <w:bCs/>
                <w:sz w:val="24"/>
                <w:szCs w:val="24"/>
                <w:lang w:val="en-US"/>
              </w:rPr>
            </w:r>
          </w:p>
        </w:tc>
      </w:tr>
    </w:tbl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3.6</w:t>
      </w:r>
      <w:r>
        <w:rPr>
          <w:rFonts w:ascii="Arial" w:hAnsi="Arial" w:eastAsia="Arial" w:cs="Arial"/>
          <w:b/>
          <w:sz w:val="24"/>
          <w:szCs w:val="24"/>
        </w:rPr>
        <w:t xml:space="preserve"> термопластичная мембрана: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Гибкий рулонный полимерный </w:t>
      </w:r>
      <w:r>
        <w:rPr>
          <w:rFonts w:ascii="Arial" w:hAnsi="Arial" w:eastAsia="Arial" w:cs="Arial"/>
          <w:sz w:val="24"/>
          <w:szCs w:val="24"/>
        </w:rPr>
        <w:t xml:space="preserve">материал из </w:t>
      </w:r>
      <w:r>
        <w:rPr>
          <w:rFonts w:ascii="Arial" w:hAnsi="Arial" w:cs="Arial"/>
          <w:sz w:val="24"/>
          <w:szCs w:val="24"/>
        </w:rPr>
        <w:t xml:space="preserve">поливинилхлорида (ПВХ) или термопластичных полиолефинов (ТПО)</w:t>
      </w:r>
      <w:r>
        <w:rPr>
          <w:rFonts w:ascii="Arial" w:hAnsi="Arial" w:eastAsia="Arial" w:cs="Arial"/>
          <w:sz w:val="24"/>
          <w:szCs w:val="24"/>
        </w:rPr>
        <w:t xml:space="preserve">, в состав которого могут входить композиты из других материалов.</w:t>
      </w:r>
      <w:r>
        <w:rPr>
          <w:rFonts w:ascii="Arial" w:hAnsi="Arial" w:eastAsia="Arial" w:cs="Arial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3.7</w:t>
      </w:r>
      <w:r>
        <w:rPr>
          <w:rFonts w:ascii="Arial" w:hAnsi="Arial" w:eastAsia="Arial" w:cs="Arial"/>
          <w:b/>
          <w:sz w:val="24"/>
          <w:szCs w:val="24"/>
        </w:rPr>
        <w:t xml:space="preserve"> </w:t>
      </w:r>
      <w:r>
        <w:rPr>
          <w:rFonts w:ascii="Arial" w:hAnsi="Arial" w:eastAsia="Arial" w:cs="Arial"/>
          <w:b/>
          <w:sz w:val="24"/>
          <w:szCs w:val="24"/>
        </w:rPr>
        <w:t xml:space="preserve">эластомерная</w:t>
      </w:r>
      <w:r>
        <w:rPr>
          <w:rFonts w:ascii="Arial" w:hAnsi="Arial" w:eastAsia="Arial" w:cs="Arial"/>
          <w:b/>
          <w:sz w:val="24"/>
          <w:szCs w:val="24"/>
        </w:rPr>
        <w:t xml:space="preserve"> мембрана: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Гибкий рулонный полимерный </w:t>
      </w:r>
      <w:r>
        <w:rPr>
          <w:rFonts w:ascii="Arial" w:hAnsi="Arial" w:eastAsia="Arial" w:cs="Arial"/>
          <w:sz w:val="24"/>
          <w:szCs w:val="24"/>
        </w:rPr>
        <w:t xml:space="preserve">материал из </w:t>
      </w:r>
      <w:r>
        <w:rPr>
          <w:rFonts w:ascii="Arial" w:hAnsi="Arial" w:cs="Arial"/>
          <w:sz w:val="24"/>
          <w:szCs w:val="24"/>
        </w:rPr>
        <w:t xml:space="preserve">этилен-пропилен-диен-мономера</w:t>
      </w:r>
      <w:r>
        <w:rPr>
          <w:rFonts w:ascii="Arial" w:hAnsi="Arial" w:cs="Arial"/>
          <w:color w:val="202122"/>
          <w:sz w:val="24"/>
          <w:szCs w:val="24"/>
          <w:shd w:val="clear" w:color="auto" w:fill="ffffff"/>
        </w:rPr>
        <w:t xml:space="preserve"> (ЭПДМ)</w:t>
      </w:r>
      <w:r>
        <w:rPr>
          <w:rFonts w:ascii="Arial" w:hAnsi="Arial" w:cs="Arial"/>
          <w:sz w:val="24"/>
          <w:szCs w:val="24"/>
        </w:rPr>
        <w:t xml:space="preserve"> или из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Style w:val="1128"/>
          <w:rFonts w:ascii="Arial" w:hAnsi="Arial" w:cs="Arial"/>
          <w:b w:val="0"/>
          <w:bCs w:val="0"/>
          <w:color w:val="000000"/>
          <w:sz w:val="24"/>
          <w:szCs w:val="24"/>
        </w:rPr>
        <w:t xml:space="preserve">полиизобутилена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(</w:t>
      </w:r>
      <w:r>
        <w:rPr>
          <w:rFonts w:ascii="Arial" w:hAnsi="Arial" w:cs="Arial"/>
          <w:sz w:val="24"/>
          <w:szCs w:val="24"/>
        </w:rPr>
        <w:t xml:space="preserve">ПИБ)</w:t>
      </w:r>
      <w:r>
        <w:rPr>
          <w:rFonts w:ascii="Arial" w:hAnsi="Arial" w:eastAsia="Arial" w:cs="Arial"/>
          <w:sz w:val="24"/>
          <w:szCs w:val="24"/>
        </w:rPr>
        <w:t xml:space="preserve">, в состав которого могут входить композиты из других материалов.</w: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38" w:before="240"/>
        <w:ind w:firstLine="567"/>
        <w:rPr>
          <w:rFonts w:ascii="Arial" w:hAnsi="Arial" w:cs="Arial"/>
          <w:b/>
          <w:bCs/>
          <w:szCs w:val="28"/>
        </w:rPr>
      </w:pPr>
      <w:r/>
      <w:bookmarkStart w:id="7" w:name="i895979"/>
      <w:r/>
      <w:bookmarkEnd w:id="7"/>
      <w:r>
        <w:rPr>
          <w:rFonts w:ascii="Arial" w:hAnsi="Arial" w:cs="Arial"/>
          <w:b/>
          <w:szCs w:val="28"/>
        </w:rPr>
        <w:t xml:space="preserve">4 </w:t>
      </w:r>
      <w:r>
        <w:rPr>
          <w:rFonts w:ascii="Arial" w:hAnsi="Arial" w:cs="Arial"/>
          <w:b/>
          <w:bCs/>
          <w:szCs w:val="28"/>
        </w:rPr>
        <w:t xml:space="preserve">Классификация</w:t>
      </w:r>
      <w:r>
        <w:rPr>
          <w:rFonts w:ascii="Arial" w:hAnsi="Arial" w:cs="Arial"/>
          <w:b/>
          <w:bCs/>
          <w:szCs w:val="28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Материалы подразделяют по назначению на три типа: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тип A – гидроизоляционная мембрана с функцией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водозащиты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тип V – гидроизоляционная мембрана с функцией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водозащиты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r>
        <w:rPr>
          <w:rFonts w:ascii="Arial" w:hAnsi="Arial" w:eastAsia="Arial" w:cs="Arial"/>
          <w:sz w:val="24"/>
          <w:szCs w:val="24"/>
        </w:rPr>
        <w:t xml:space="preserve">вентиляции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или дренажа;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тип Т – гидроизоляционная мембрана с функцией защиты от напорных грунтовых вод.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Мембраны типа А и типа Т могут быть с армированием или без армирования.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38" w:before="238"/>
        <w:ind w:firstLine="567"/>
        <w:rPr>
          <w:rFonts w:ascii="Arial" w:hAnsi="Arial" w:cs="Arial"/>
          <w:b/>
          <w:bCs/>
          <w:szCs w:val="28"/>
        </w:rPr>
      </w:pPr>
      <w:r/>
      <w:bookmarkStart w:id="8" w:name="_Hlk45188705"/>
      <w:r>
        <w:rPr>
          <w:rFonts w:ascii="Arial" w:hAnsi="Arial" w:eastAsia="Arial" w:cs="Arial"/>
          <w:b/>
          <w:bCs/>
          <w:szCs w:val="28"/>
        </w:rPr>
        <w:t xml:space="preserve">5 </w:t>
      </w:r>
      <w:r>
        <w:rPr>
          <w:rFonts w:ascii="Arial" w:hAnsi="Arial" w:eastAsia="Arial" w:cs="Arial"/>
          <w:b/>
          <w:bCs/>
          <w:color w:val="000000"/>
          <w:szCs w:val="28"/>
        </w:rPr>
        <w:t xml:space="preserve">Технические требовани</w:t>
      </w:r>
      <w:r>
        <w:rPr>
          <w:rFonts w:ascii="Arial" w:hAnsi="Arial" w:eastAsia="Arial" w:cs="Arial"/>
          <w:b/>
          <w:bCs/>
          <w:szCs w:val="28"/>
        </w:rPr>
        <w:t xml:space="preserve">я</w:t>
      </w:r>
      <w:r>
        <w:rPr>
          <w:rFonts w:ascii="Arial" w:hAnsi="Arial" w:cs="Arial"/>
          <w:b/>
          <w:bCs/>
          <w:szCs w:val="28"/>
        </w:rPr>
      </w:r>
    </w:p>
    <w:p>
      <w:pPr>
        <w:pBdr/>
        <w:spacing/>
        <w:ind/>
        <w:rPr>
          <w:rFonts w:ascii="Arial" w:hAnsi="Arial" w:cs="Arial"/>
          <w:b/>
          <w:bCs/>
          <w:sz w:val="24"/>
          <w:szCs w:val="24"/>
          <w:lang w:val="ru"/>
        </w:rPr>
      </w:pPr>
      <w:r/>
      <w:bookmarkStart w:id="9" w:name="_26in1rg"/>
      <w:r/>
      <w:bookmarkEnd w:id="9"/>
      <w:r>
        <w:rPr>
          <w:rFonts w:ascii="Arial" w:hAnsi="Arial" w:cs="Arial"/>
          <w:b/>
          <w:bCs/>
          <w:sz w:val="24"/>
          <w:szCs w:val="24"/>
          <w:lang w:val="ru"/>
        </w:rPr>
        <w:t xml:space="preserve">5.1 Общие технические требования</w:t>
      </w:r>
      <w:bookmarkStart w:id="10" w:name="bookmark35"/>
      <w:r/>
      <w:bookmarkEnd w:id="8"/>
      <w:r/>
      <w:bookmarkEnd w:id="10"/>
      <w:r/>
      <w:r>
        <w:rPr>
          <w:rFonts w:ascii="Arial" w:hAnsi="Arial" w:cs="Arial"/>
          <w:b/>
          <w:bCs/>
          <w:sz w:val="24"/>
          <w:szCs w:val="24"/>
          <w:lang w:val="ru"/>
        </w:rPr>
      </w:r>
    </w:p>
    <w:p>
      <w:pPr>
        <w:pBdr/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5.1.1 </w:t>
      </w:r>
      <w:r>
        <w:rPr>
          <w:rStyle w:val="1180"/>
          <w:rFonts w:ascii="Arial" w:hAnsi="Arial" w:cs="Arial"/>
          <w:sz w:val="24"/>
          <w:szCs w:val="24"/>
        </w:rPr>
        <w:t xml:space="preserve">Материалы должны соответствовать требованиям настоящего стандарта.</w:t>
      </w:r>
      <w:r>
        <w:rPr>
          <w:rFonts w:ascii="Arial" w:hAnsi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5.1.2 Производитель может не декларировать предельные отклонения характеристик, если они установлены в настоящем стандарте.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1" w:name="_lnxbz9"/>
      <w:r/>
      <w:bookmarkEnd w:id="11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5.2 Видимые дефекты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Полотно материала не должно иметь видимых дефектов.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2" w:name="_35nkun2"/>
      <w:r/>
      <w:bookmarkEnd w:id="12"/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5.3 Линейные размеры, предельные отклонения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5.3.1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Значения прямолинейности и плоскостности определяют только для материалов, поставляемых в рулонах, и не применяют к полотнам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длиной менее 5 м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.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5.3.2 Длина и ширина должны оставаться в пределах указанных допусков от ДЗП.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5.3.3 Отклонение от прямолинейности не должно превышать 75 мм на 10 м. Для других длин должны соблюдаться пропорциональные предельные отклонения от прямолинейности (например, отклонение 37,5 мм при длине 5 м).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3" w:name="_1ksv4uv"/>
      <w:r/>
      <w:bookmarkEnd w:id="13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5.4 Толщина и масса на единицу площади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Если материал идентифицируют по его массе на единицу площади, то эта масса должна быть в пределах ДЗП. Если размеры профиля сопоставимы с измеряемой площадью, следует использовать образец большего размера и зарегистрировать отклонение от метода испытаний.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Если материал идентифицируют по его толщине, то она должна быть в пределах ДЗП. Никакое отдельное значение не может выходить за пределы ДЗП.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4" w:name="_44sinio"/>
      <w:r/>
      <w:bookmarkEnd w:id="14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5.5 Водонепроницаемость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Материалы должны быть водонепроницаемы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при давлении 60 кПа для гидроизоляционных мембран типа A и V и при давлении 2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00 кПа для гидроизоляционных мембран типа T.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 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5" w:name="_z337ya"/>
      <w:r/>
      <w:bookmarkEnd w:id="15"/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5.6 Сопротивление динамическому продавливанию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опротивление динамическому продавливанию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определяют </w:t>
      </w:r>
      <w:r>
        <w:rPr>
          <w:rFonts w:ascii="Arial" w:hAnsi="Arial" w:eastAsia="Arial" w:cs="Arial"/>
          <w:sz w:val="24"/>
          <w:szCs w:val="24"/>
        </w:rPr>
        <w:t xml:space="preserve">по требованию заказчика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Значение с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опротивления динамическому продавливанию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должно быть больше или равно ПЗП, установленному производителем.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6" w:name="_2xcytpi"/>
      <w:r/>
      <w:bookmarkEnd w:id="16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5.7 Водонепроницаемость после воздействия термического старения и химических веществ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Cs/>
          <w:color w:val="000000"/>
          <w:sz w:val="24"/>
          <w:szCs w:val="24"/>
        </w:rPr>
      </w:pPr>
      <w:r/>
      <w:bookmarkStart w:id="17" w:name="_2bn6wsx"/>
      <w:r/>
      <w:bookmarkEnd w:id="17"/>
      <w:r>
        <w:rPr>
          <w:rFonts w:ascii="Arial" w:hAnsi="Arial" w:eastAsia="Arial" w:cs="Arial"/>
          <w:bCs/>
          <w:color w:val="000000"/>
          <w:sz w:val="24"/>
          <w:szCs w:val="24"/>
        </w:rPr>
        <w:t xml:space="preserve">5.7.1 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Материал должен быть водонепроницаем после воздействия методом искусственного термического старения при непрерывной выдержке в течение 12 недель.</w:t>
      </w:r>
      <w:r>
        <w:rPr>
          <w:rFonts w:ascii="Arial" w:hAnsi="Arial" w:eastAsia="Arial" w:cs="Arial"/>
          <w:bCs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Cs/>
          <w:color w:val="000000"/>
          <w:sz w:val="24"/>
          <w:szCs w:val="24"/>
        </w:rPr>
      </w:pPr>
      <w:r/>
      <w:bookmarkStart w:id="18" w:name="_1pxezwc"/>
      <w:r/>
      <w:bookmarkEnd w:id="18"/>
      <w:r>
        <w:rPr>
          <w:rFonts w:ascii="Arial" w:hAnsi="Arial" w:eastAsia="Arial" w:cs="Arial"/>
          <w:bCs/>
          <w:color w:val="000000"/>
          <w:sz w:val="24"/>
          <w:szCs w:val="24"/>
        </w:rPr>
        <w:t xml:space="preserve">5.7.2 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Материал дол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жен быть водонепроницаем после воздействия щелочных растворов </w:t>
      </w:r>
      <w:r>
        <w:rPr>
          <w:rFonts w:ascii="Arial" w:hAnsi="Arial" w:eastAsia="Arial" w:cs="Arial"/>
          <w:sz w:val="24"/>
          <w:szCs w:val="24"/>
        </w:rPr>
        <w:t xml:space="preserve">в течение 28 дней при 23 °C. </w:t>
      </w:r>
      <w:r>
        <w:rPr>
          <w:rFonts w:ascii="Arial" w:hAnsi="Arial" w:eastAsia="Arial" w:cs="Arial"/>
          <w:bCs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19" w:name="_49x2ik5"/>
      <w:r/>
      <w:bookmarkEnd w:id="19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5.8 Совместимость с битумом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Совместимость с битумом определяют по требованию заказчика. </w:t>
      </w:r>
      <w:r>
        <w:rPr>
          <w:rFonts w:ascii="Arial" w:hAnsi="Arial" w:eastAsia="Arial" w:cs="Arial"/>
          <w:sz w:val="24"/>
          <w:szCs w:val="24"/>
        </w:rPr>
        <w:t xml:space="preserve">Образ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ец должен оставаться водонепроницаемым после воздействия битума.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20" w:name="_2p2csry"/>
      <w:r/>
      <w:bookmarkEnd w:id="20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5.9 С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опротивление 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раздиру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 стержнем гвоздя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Значение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сопротивления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раздиру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 стержнем гвоздя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должно быть больше или равно ПЗП.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sz w:val="24"/>
          <w:szCs w:val="24"/>
        </w:rPr>
      </w:pPr>
      <w:r/>
      <w:bookmarkStart w:id="21" w:name="_147n2zr"/>
      <w:r/>
      <w:bookmarkEnd w:id="21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</w:t>
      </w:r>
      <w:r>
        <w:rPr>
          <w:rFonts w:ascii="Arial" w:hAnsi="Arial" w:eastAsia="Arial" w:cs="Arial"/>
          <w:b/>
          <w:sz w:val="24"/>
          <w:szCs w:val="24"/>
        </w:rPr>
        <w:t xml:space="preserve">10 Прочность на сдвиг сварного и клеевого соединений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Значение прочности на сдвиг сварного и клеевого соединений должно быть больше или равен ПЗП.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sz w:val="24"/>
          <w:szCs w:val="24"/>
        </w:rPr>
      </w:pPr>
      <w:r/>
      <w:bookmarkStart w:id="22" w:name="_3o7alnk"/>
      <w:r/>
      <w:bookmarkEnd w:id="22"/>
      <w:r>
        <w:rPr>
          <w:rFonts w:ascii="Arial" w:hAnsi="Arial" w:eastAsia="Arial" w:cs="Arial"/>
          <w:b/>
          <w:sz w:val="24"/>
          <w:szCs w:val="24"/>
        </w:rPr>
        <w:t xml:space="preserve">5.11 </w:t>
      </w:r>
      <w:r>
        <w:rPr>
          <w:rFonts w:ascii="Arial" w:hAnsi="Arial" w:eastAsia="Arial" w:cs="Arial"/>
          <w:b/>
          <w:sz w:val="24"/>
          <w:szCs w:val="24"/>
        </w:rPr>
        <w:t xml:space="preserve">Паропроницаемость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Паропроницаемость</w:t>
      </w:r>
      <w:r>
        <w:rPr>
          <w:rFonts w:ascii="Arial" w:hAnsi="Arial" w:eastAsia="Arial" w:cs="Arial"/>
          <w:sz w:val="24"/>
          <w:szCs w:val="24"/>
        </w:rPr>
        <w:t xml:space="preserve"> полимерных и </w:t>
      </w:r>
      <w:r>
        <w:rPr>
          <w:rFonts w:ascii="Arial" w:hAnsi="Arial" w:eastAsia="Arial" w:cs="Arial"/>
          <w:sz w:val="24"/>
          <w:szCs w:val="24"/>
        </w:rPr>
        <w:t xml:space="preserve">эластомерных</w:t>
      </w:r>
      <w:r>
        <w:rPr>
          <w:rFonts w:ascii="Arial" w:hAnsi="Arial" w:eastAsia="Arial" w:cs="Arial"/>
          <w:sz w:val="24"/>
          <w:szCs w:val="24"/>
        </w:rPr>
        <w:t xml:space="preserve"> гидроизоляционных мембран определяют по требованию заказчика. Результат должен находиться в пределах указанного допуска ДЗП. Допуск ДЗП должен быть в пределах ± 30 %.</w:t>
      </w:r>
      <w:bookmarkStart w:id="23" w:name="_23ckvvd"/>
      <w:r/>
      <w:bookmarkEnd w:id="23"/>
      <w:r/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5.12 </w:t>
      </w:r>
      <w:r>
        <w:rPr>
          <w:rFonts w:ascii="Arial" w:hAnsi="Arial" w:cs="Arial"/>
          <w:b/>
          <w:sz w:val="24"/>
          <w:szCs w:val="24"/>
        </w:rPr>
        <w:t xml:space="preserve">Сопротивление статическому продавливанию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pBdr/>
        <w:spacing/>
        <w:ind w:firstLine="567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Значение сопротивления статическому продавливанию </w:t>
      </w:r>
      <w:r>
        <w:rPr>
          <w:rFonts w:ascii="Arial" w:hAnsi="Arial" w:eastAsia="Arial" w:cs="Arial"/>
          <w:sz w:val="24"/>
          <w:szCs w:val="24"/>
        </w:rPr>
        <w:t xml:space="preserve">должно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быть больше или равно ПЗП.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З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начение устойчивости к статической нагрузке определяют по требованию заказчика и оно должно быть больше или равно ПЗП.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24" w:name="_ihv636"/>
      <w:r/>
      <w:bookmarkEnd w:id="24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5.13 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Деформативно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-прочностные характеристики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Для всех типов гидроизоляционных мембран (T, A и V) значение реакции на удлинение при растяжении как в продольном, так и в поперечном направлении должно быть больше или равно ПЗП.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1134"/>
        </w:tabs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25" w:name="_32hioqz"/>
      <w:r/>
      <w:bookmarkEnd w:id="25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5.14 Устойчивость к деформации под нагрузкой 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Значение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устойчивости к деформации под нагрузкой</w:t>
      </w:r>
      <w:r>
        <w:rPr>
          <w:rFonts w:ascii="Arial" w:hAnsi="Arial" w:eastAsia="Arial" w:cs="Arial"/>
          <w:sz w:val="24"/>
          <w:szCs w:val="24"/>
        </w:rPr>
        <w:t xml:space="preserve"> должно быть меньше или равно ПЗП для деформации при определенной нагрузке и ее продолжительности.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1295"/>
        <w:pBdr/>
        <w:spacing w:after="0" w:line="36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  <w:shd w:val="clear" w:color="auto" w:fill="ffffff"/>
        </w:rPr>
        <w:t xml:space="preserve">5.15 Показатели пожарной опасности</w:t>
      </w:r>
      <w:r>
        <w:rPr>
          <w:sz w:val="24"/>
          <w:szCs w:val="24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О</w:t>
      </w:r>
      <w:r>
        <w:rPr>
          <w:rFonts w:ascii="Arial" w:hAnsi="Arial" w:eastAsia="Arial" w:cs="Arial"/>
          <w:lang w:eastAsia="en-US"/>
        </w:rPr>
        <w:t xml:space="preserve">пределяют следующие показатели пожарной опасности:</w:t>
      </w:r>
      <w:r>
        <w:rPr>
          <w:rFonts w:ascii="Arial" w:hAnsi="Arial" w:cs="Arial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  <w:lang w:eastAsia="en-US"/>
        </w:rPr>
        <w:t xml:space="preserve">- группа горючести по ГОСТ 30244;</w:t>
      </w:r>
      <w:r>
        <w:rPr>
          <w:rFonts w:ascii="Arial" w:hAnsi="Arial" w:cs="Arial"/>
        </w:rPr>
      </w:r>
    </w:p>
    <w:p>
      <w:pPr>
        <w:pStyle w:val="1250"/>
        <w:pBdr/>
        <w:shd w:val="clear" w:color="auto" w:fill="ffffff"/>
        <w:spacing w:after="0" w:afterAutospacing="0" w:before="0" w:beforeAutospacing="0"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  <w:lang w:eastAsia="en-US"/>
        </w:rPr>
        <w:t xml:space="preserve">- группа воспламеняемости по ГОСТ 30402.</w:t>
      </w:r>
      <w:r>
        <w:rPr>
          <w:rFonts w:ascii="Arial" w:hAnsi="Arial" w:cs="Arial"/>
        </w:rPr>
      </w:r>
    </w:p>
    <w:p>
      <w:pPr>
        <w:pBdr/>
        <w:spacing/>
        <w:ind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5.16 Маркировка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Каждый рулон (полотно) должен иметь маркировку, содержащую следующую информацию: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дата изготовления и (или) номер партии;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наименование и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юридический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адрес производителя;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торговое наименование материала;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ти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п материала (тип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A, V или Т);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длина и ширина полотна материала в рулоне (полотне);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е) толщина и (или) масса на единицу площади;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ж) сведения об опасных компонентах (при их наличии) в соответствии с действующим национальным законодательством.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eastAsia="Arial" w:cs="Arial"/>
          <w:b/>
        </w:rPr>
        <w:t xml:space="preserve">5.17</w:t>
      </w:r>
      <w:r>
        <w:rPr>
          <w:rFonts w:ascii="Arial" w:hAnsi="Arial" w:eastAsia="Arial" w:cs="Arial"/>
        </w:rPr>
        <w:t xml:space="preserve"> </w:t>
      </w:r>
      <w:r>
        <w:rPr>
          <w:rStyle w:val="1180"/>
          <w:rFonts w:ascii="Arial" w:hAnsi="Arial" w:cs="Arial"/>
          <w:b/>
          <w:highlight w:val="white"/>
        </w:rPr>
        <w:t xml:space="preserve">Упаковка</w:t>
      </w:r>
      <w:r>
        <w:rPr>
          <w:rFonts w:ascii="Arial" w:hAnsi="Arial" w:cs="Arial"/>
          <w:highlight w:val="white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  <w:highlight w:val="white"/>
        </w:rPr>
      </w:pPr>
      <w:r>
        <w:rPr>
          <w:rFonts w:ascii="Arial" w:hAnsi="Arial" w:eastAsia="Arial" w:cs="Arial"/>
        </w:rPr>
        <w:t xml:space="preserve">Упаковка должна обеспечивать защиту материалов от механических повреждений и атмосферных осадков при транспортировании и хранении</w:t>
      </w:r>
      <w:r>
        <w:rPr>
          <w:rFonts w:ascii="Arial" w:hAnsi="Arial" w:eastAsia="Arial" w:cs="Arial"/>
          <w:highlight w:val="white"/>
          <w:lang w:eastAsia="en-US"/>
        </w:rPr>
        <w:t xml:space="preserve">. </w:t>
      </w:r>
      <w:r>
        <w:rPr>
          <w:rFonts w:ascii="Arial" w:hAnsi="Arial" w:cs="Arial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firstLine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5.18 Требования к сырью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firstLine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color w:val="1a1a1a"/>
          <w:sz w:val="24"/>
          <w:highlight w:val="white"/>
        </w:rPr>
        <w:t xml:space="preserve">5.18.1 Материалы, используемые при изготовлении гибких рулонных полимерных (термопластичных и 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эластомерных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) материалов, должны соответствовать нормативно-технической документации производителя. 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/>
        <w:ind w:firstLine="680"/>
        <w:rPr/>
      </w:pPr>
      <w:r>
        <w:rPr>
          <w:rFonts w:ascii="Arial" w:hAnsi="Arial" w:eastAsia="Arial" w:cs="Arial"/>
          <w:color w:val="1a1a1a"/>
          <w:sz w:val="24"/>
          <w:highlight w:val="white"/>
        </w:rPr>
        <w:t xml:space="preserve">5.18.2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 Д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опускается применение вторичных ресурсов, объем и характеристики которых не должны приводить к ухудшению показателей гибких рулонных полимерных (термопластичных и 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эластомерных</w:t>
      </w:r>
      <w:r>
        <w:rPr>
          <w:rFonts w:ascii="Arial" w:hAnsi="Arial" w:eastAsia="Arial" w:cs="Arial"/>
          <w:color w:val="1a1a1a"/>
          <w:sz w:val="24"/>
          <w:highlight w:val="white"/>
        </w:rPr>
        <w:t xml:space="preserve">) материалов до значений ниже ПЗП.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38" w:before="240"/>
        <w:ind/>
        <w:rPr>
          <w:rFonts w:ascii="Arial" w:hAnsi="Arial" w:cs="Arial"/>
          <w:b/>
          <w:bCs/>
          <w:szCs w:val="28"/>
        </w:rPr>
      </w:pPr>
      <w:r>
        <w:rPr>
          <w:rFonts w:ascii="Arial" w:hAnsi="Arial" w:eastAsia="Arial" w:cs="Arial"/>
          <w:b/>
          <w:bCs/>
          <w:color w:val="000000"/>
          <w:szCs w:val="28"/>
        </w:rPr>
        <w:t xml:space="preserve">6 </w:t>
      </w:r>
      <w:r>
        <w:rPr>
          <w:rFonts w:ascii="Arial" w:hAnsi="Arial" w:eastAsia="Arial" w:cs="Arial"/>
          <w:b/>
          <w:color w:val="000000"/>
        </w:rPr>
        <w:t xml:space="preserve">Правила приемки</w:t>
      </w:r>
      <w:r>
        <w:rPr>
          <w:rFonts w:ascii="Arial" w:hAnsi="Arial" w:cs="Arial"/>
          <w:b/>
          <w:bCs/>
          <w:szCs w:val="28"/>
        </w:rPr>
      </w:r>
    </w:p>
    <w:p>
      <w:pPr>
        <w:pBdr/>
        <w:spacing w:before="240"/>
        <w: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6.1 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Общие требования к правилам приемки</w:t>
      </w:r>
      <w:r>
        <w:rPr>
          <w:rFonts w:ascii="Arial" w:hAnsi="Arial" w:cs="Arial"/>
          <w:b/>
          <w:sz w:val="24"/>
          <w:szCs w:val="24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6.1.1 Приемку готовой продукции (по результатам оценки соответствия материалов требованиям настоящего стандарта и заявленным значениям показателей) осуществляет служба контроля качества изготовителя.</w:t>
      </w:r>
      <w:r>
        <w:rPr>
          <w:rFonts w:ascii="Arial" w:hAnsi="Arial" w:cs="Arial"/>
          <w:highlight w:val="white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Приемку готовой продукции осуществляют партиями. Партией считается совокупность продукции одного вида, изготовленной из одного и того же сырья, по одной и той же технологии, в течение срока, установленного изготовителем.</w:t>
      </w:r>
      <w:r>
        <w:rPr>
          <w:rFonts w:ascii="Arial" w:hAnsi="Arial" w:cs="Arial"/>
          <w:highlight w:val="white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eastAsia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6.1.2</w:t>
      </w:r>
      <w:r>
        <w:rPr>
          <w:rFonts w:ascii="Arial" w:hAnsi="Arial" w:eastAsia="Arial" w:cs="Arial"/>
          <w:color w:val="000000"/>
        </w:rPr>
        <w:t xml:space="preserve"> Д</w:t>
      </w:r>
      <w:r>
        <w:rPr>
          <w:rFonts w:ascii="Arial" w:hAnsi="Arial" w:eastAsia="Arial" w:cs="Arial"/>
          <w:color w:val="000000"/>
        </w:rPr>
        <w:t xml:space="preserve">ля проведения испытаний материалы могут быть сгруппированы, если предполагается</w:t>
      </w:r>
      <w:r>
        <w:rPr>
          <w:rFonts w:ascii="Arial" w:hAnsi="Arial" w:eastAsia="Arial" w:cs="Arial"/>
          <w:color w:val="000000"/>
        </w:rPr>
        <w:t xml:space="preserve">, что результаты по одной или нескольким характеристикам одного материала в пределах одной группы являются репрезентативными для всех материалов в пределах этой группы (материалы могут быть включены в разные группы для определения различных характеристик).</w:t>
      </w:r>
      <w:r>
        <w:rPr>
          <w:rFonts w:ascii="Arial" w:hAnsi="Arial" w:eastAsia="Arial" w:cs="Arial"/>
          <w:color w:val="000000"/>
        </w:rPr>
      </w:r>
    </w:p>
    <w:p>
      <w:pPr>
        <w:pBdr/>
        <w:spacing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6.1.3 Испытания материалов для определения показателей, указанных в настоящем стандарте, проводимые с люб</w:t>
      </w:r>
      <w:r>
        <w:rPr>
          <w:rFonts w:ascii="Arial" w:hAnsi="Arial" w:cs="Arial"/>
          <w:sz w:val="24"/>
          <w:szCs w:val="24"/>
        </w:rPr>
        <w:t xml:space="preserve">ой целью, кроме контроля готовой продукции на предприятии, должны быть начаты не позднее одного месяца после отгрузки продукции с предприятия. В течение этого срока материал должен храниться в соответствии с требованиями производителя по условиям хранения.</w:t>
      </w:r>
      <w:r>
        <w:rPr>
          <w:rFonts w:ascii="Arial" w:hAnsi="Arial" w:cs="Arial"/>
          <w:sz w:val="24"/>
          <w:szCs w:val="24"/>
        </w:rPr>
      </w:r>
    </w:p>
    <w:p>
      <w:pPr>
        <w:pBdr/>
        <w:spacing/>
        <w:ind/>
        <w:rPr>
          <w:rStyle w:val="1180"/>
          <w:rFonts w:ascii="Arial" w:hAnsi="Arial" w:cs="Arial"/>
          <w:b/>
          <w:sz w:val="24"/>
          <w:szCs w:val="24"/>
        </w:rPr>
      </w:pPr>
      <w:r>
        <w:rPr>
          <w:rStyle w:val="1180"/>
          <w:rFonts w:ascii="Arial" w:hAnsi="Arial" w:cs="Arial"/>
          <w:b/>
          <w:sz w:val="24"/>
          <w:szCs w:val="24"/>
        </w:rPr>
        <w:t xml:space="preserve">6.2 Производственный контроль</w:t>
      </w:r>
      <w:r>
        <w:rPr>
          <w:rStyle w:val="1180"/>
          <w:rFonts w:ascii="Arial" w:hAnsi="Arial" w:cs="Arial"/>
          <w:b/>
          <w:sz w:val="24"/>
          <w:szCs w:val="24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6.2.1</w:t>
      </w:r>
      <w:r>
        <w:rPr>
          <w:rFonts w:ascii="Arial" w:hAnsi="Arial" w:cs="Arial"/>
          <w:highlight w:val="white"/>
          <w:lang w:eastAsia="en-US"/>
        </w:rPr>
        <w:t xml:space="preserve"> Д</w:t>
      </w:r>
      <w:r>
        <w:rPr>
          <w:rFonts w:ascii="Arial" w:hAnsi="Arial" w:cs="Arial"/>
          <w:highlight w:val="white"/>
          <w:lang w:eastAsia="en-US"/>
        </w:rPr>
        <w:t xml:space="preserve">ля проверки соответствия готовой продукции требованиям настоящего стандарта проводят квалификационные, приемо-сдаточные, периодические и типовые испытания.</w:t>
      </w:r>
      <w:r>
        <w:rPr>
          <w:rFonts w:ascii="Arial" w:hAnsi="Arial" w:cs="Arial"/>
          <w:highlight w:val="white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6.2.2 Квалификационные и типовые испытания </w:t>
      </w:r>
      <w:r>
        <w:rPr>
          <w:rFonts w:ascii="Arial" w:hAnsi="Arial" w:cs="Arial"/>
          <w:lang w:eastAsia="en-US"/>
        </w:rPr>
        <w:t xml:space="preserve">проводят для показателей, перечисленных в </w:t>
      </w:r>
      <w:r>
        <w:rPr>
          <w:rFonts w:ascii="Arial" w:hAnsi="Arial" w:eastAsia="Arial" w:cs="Arial"/>
          <w:color w:val="000000"/>
        </w:rPr>
        <w:t xml:space="preserve">разделе 5 для материалов конкретных видов.</w:t>
      </w:r>
      <w:r>
        <w:rPr>
          <w:rFonts w:ascii="Arial" w:hAnsi="Arial" w:cs="Arial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6.2.3 </w:t>
      </w:r>
      <w:r>
        <w:rPr>
          <w:rFonts w:ascii="Arial" w:hAnsi="Arial" w:cs="Arial"/>
          <w:sz w:val="24"/>
          <w:szCs w:val="24"/>
          <w:highlight w:val="white"/>
          <w:lang w:eastAsia="en-US"/>
        </w:rPr>
        <w:t xml:space="preserve">Периодичность испытаний, а также перечень показателей </w:t>
      </w:r>
      <w:r>
        <w:rPr>
          <w:rFonts w:ascii="Arial" w:hAnsi="Arial" w:cs="Arial"/>
          <w:sz w:val="24"/>
          <w:szCs w:val="24"/>
          <w:highlight w:val="white"/>
          <w:lang w:eastAsia="en-US"/>
        </w:rPr>
        <w:t xml:space="preserve">приведены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 в таблице </w:t>
      </w:r>
      <w:r>
        <w:rPr>
          <w:rFonts w:ascii="Arial" w:hAnsi="Arial" w:eastAsia="Arial" w:cs="Arial"/>
          <w:spacing w:val="40"/>
          <w:sz w:val="24"/>
          <w:szCs w:val="24"/>
          <w:highlight w:val="white"/>
        </w:rPr>
        <w:t xml:space="preserve">1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/>
        <w:shd w:val="clear" w:color="auto" w:fill="ffffff"/>
        <w:spacing w:line="240" w:lineRule="auto"/>
        <w:ind w:firstLine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/>
        <w:shd w:val="clear" w:color="auto" w:fill="ffffff"/>
        <w:spacing w:line="240" w:lineRule="auto"/>
        <w:ind w:firstLine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40"/>
          <w:sz w:val="24"/>
          <w:szCs w:val="24"/>
        </w:rPr>
        <w:t xml:space="preserve">Таблица 1 </w:t>
      </w:r>
      <w:r>
        <w:rPr>
          <w:rFonts w:ascii="Arial" w:hAnsi="Arial" w:eastAsia="Arial" w:cs="Arial"/>
          <w:sz w:val="24"/>
          <w:szCs w:val="24"/>
        </w:rPr>
        <w:t xml:space="preserve">– Частота проведения испытаний готовой продукции</w:t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1130"/>
        <w:tblW w:w="0" w:type="auto"/>
        <w:tblBorders/>
        <w:tblLook w:val="04A0" w:firstRow="1" w:lastRow="0" w:firstColumn="1" w:lastColumn="0" w:noHBand="0" w:noVBand="1"/>
      </w:tblPr>
      <w:tblGrid>
        <w:gridCol w:w="2558"/>
        <w:gridCol w:w="1725"/>
        <w:gridCol w:w="1683"/>
        <w:gridCol w:w="1888"/>
        <w:gridCol w:w="1886"/>
      </w:tblGrid>
      <w:tr>
        <w:trPr/>
        <w:tc>
          <w:tcPr>
            <w:tcBorders/>
            <w:tcW w:w="255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Показатель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Пункт настоящего стандарта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gridSpan w:val="2"/>
            <w:tcBorders/>
            <w:tcW w:w="3571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Вид испытаний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Периодичность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auto" w:sz="4" w:space="0"/>
            </w:tcBorders>
            <w:tcW w:w="255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72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Приемо-сдаточные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bottom w:val="single" w:color="auto" w:sz="4" w:space="0"/>
            </w:tcBorders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Периодические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bottom w:val="single" w:color="auto" w:sz="4" w:space="0"/>
            </w:tcBorders>
            <w:tcW w:w="1886" w:type="dxa"/>
            <w:vMerge w:val="continue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auto" w:sz="4" w:space="0"/>
            </w:tcBorders>
            <w:tcW w:w="2558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Видимые дефекты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725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5.2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88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Каждая партия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558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Длина и ширина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5.3.2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695"/>
        </w:trPr>
        <w:tc>
          <w:tcPr>
            <w:tcBorders/>
            <w:tcW w:w="2558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Прямолинейность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5.3.3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Одна партия каждого вида 1 раз в месяц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558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Толщина или масса на единицу площади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5.4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Каждая партия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55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highlight w:val="white"/>
              </w:rPr>
              <w:t xml:space="preserve">Водонепроницаемость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        5.5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раза в 6 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мес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558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left"/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  <w:highlight w:val="white"/>
              </w:rPr>
              <w:t xml:space="preserve">Сопротивление динамическому продавливанию</w:t>
            </w:r>
            <w:r>
              <w:rPr>
                <w:rFonts w:ascii="Arial" w:hAnsi="Arial" w:eastAsia="Arial" w:cs="Arial"/>
                <w:color w:val="000000" w:themeColor="text1"/>
                <w:sz w:val="22"/>
                <w:szCs w:val="22"/>
              </w:rPr>
            </w:r>
          </w:p>
        </w:tc>
        <w:tc>
          <w:tcPr>
            <w:tcBorders/>
            <w:tcW w:w="1725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5.6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раза в 1 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мес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255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Водонепроницаемость после воздействия термического старения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5.7.1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pBdr/>
              <w:spacing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раза в 6 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мес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255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Водонепроницаемость после воздействия химических веществ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725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5.7.2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683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6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 в год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</w:tbl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rPr>
          <w:rFonts w:ascii="Arial" w:hAnsi="Arial" w:eastAsia="Arial" w:cs="Arial"/>
          <w:color w:val="000000"/>
          <w:sz w:val="24"/>
          <w:szCs w:val="24"/>
          <w:highlight w:val="white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Окончание таблицы 1</w:t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1130"/>
        <w:tblW w:w="0" w:type="auto"/>
        <w:tblBorders/>
        <w:tblLook w:val="04A0" w:firstRow="1" w:lastRow="0" w:firstColumn="1" w:lastColumn="0" w:noHBand="0" w:noVBand="1"/>
      </w:tblPr>
      <w:tblGrid>
        <w:gridCol w:w="2321"/>
        <w:gridCol w:w="1812"/>
        <w:gridCol w:w="1786"/>
        <w:gridCol w:w="1911"/>
        <w:gridCol w:w="1910"/>
      </w:tblGrid>
      <w:tr>
        <w:trPr>
          <w:trHeight w:val="253"/>
        </w:trPr>
        <w:tc>
          <w:tcPr>
            <w:tcBorders/>
            <w:tcW w:w="2319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Показатель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60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Пункт настоящего стандарта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gridSpan w:val="2"/>
            <w:tcBorders/>
            <w:tcW w:w="3679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Вид испытаний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883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Периодичность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483"/>
        </w:trPr>
        <w:tc>
          <w:tcPr>
            <w:tcBorders>
              <w:bottom w:val="single" w:color="auto" w:sz="4" w:space="0"/>
            </w:tcBorders>
            <w:tcW w:w="194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94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Приемо-сдаточные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bottom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Периодические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bottom w:val="single" w:color="auto" w:sz="4" w:space="0"/>
            </w:tcBorders>
            <w:tcW w:w="194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53"/>
        </w:trPr>
        <w:tc>
          <w:tcPr>
            <w:tcBorders>
              <w:top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Совместимость с битумом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5.8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</w:tcBorders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 в год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С</w:t>
            </w:r>
            <w:r>
              <w:rPr>
                <w:rFonts w:ascii="Arial" w:hAnsi="Arial" w:eastAsia="Arial" w:cs="Arial"/>
                <w:sz w:val="22"/>
                <w:szCs w:val="22"/>
                <w:highlight w:val="white"/>
              </w:rPr>
              <w:t xml:space="preserve">опротивление </w:t>
            </w:r>
            <w:r>
              <w:rPr>
                <w:rFonts w:ascii="Arial" w:hAnsi="Arial" w:eastAsia="Arial" w:cs="Arial"/>
                <w:sz w:val="22"/>
                <w:szCs w:val="22"/>
                <w:highlight w:val="white"/>
              </w:rPr>
              <w:t xml:space="preserve">раздиру</w:t>
            </w:r>
            <w:r>
              <w:rPr>
                <w:rFonts w:ascii="Arial" w:hAnsi="Arial" w:eastAsia="Arial" w:cs="Arial"/>
                <w:sz w:val="22"/>
                <w:szCs w:val="22"/>
                <w:highlight w:val="white"/>
              </w:rPr>
              <w:t xml:space="preserve"> стержнем гвоздя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5.9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раза в 6 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мес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Прочность на сдвиг сварного и клеевого соединений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5.10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5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раза в 1 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мес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Паропроницаемость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5.11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Сопротивление статическому продавливанию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5.12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Деформативно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-прочностные характеристики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5.13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Каждая партия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  <w:tr>
        <w:trPr>
          <w:trHeight w:val="253"/>
        </w:trPr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Устойчивость к деформации под нагрузкой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5.14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-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+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  <w:tc>
          <w:tcPr>
            <w:tcBorders/>
            <w:tcW w:w="1948" w:type="dxa"/>
            <w:vMerge w:val="restart"/>
            <w:textDirection w:val="lrTb"/>
            <w:noWrap w:val="false"/>
          </w:tcPr>
          <w:p>
            <w:pPr>
              <w:widowControl w:val="true"/>
              <w:pBdr/>
              <w:shd w:val="clear" w:color="auto" w:fill="ffffff"/>
              <w:spacing w:line="240" w:lineRule="auto"/>
              <w:ind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Не реже 1 раз в год</w:t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  <w:p>
            <w:pPr>
              <w:widowControl w:val="true"/>
              <w:pBdr/>
              <w:shd w:val="clear" w:color="auto" w:fill="ffffff"/>
              <w:spacing w:line="240" w:lineRule="auto"/>
              <w:ind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</w:r>
            <w:r>
              <w:rPr>
                <w:rFonts w:ascii="Arial" w:hAnsi="Arial" w:eastAsia="Arial" w:cs="Arial"/>
                <w:sz w:val="22"/>
                <w:szCs w:val="22"/>
              </w:rPr>
            </w:r>
          </w:p>
        </w:tc>
      </w:tr>
    </w:tbl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  <w:highlight w:val="white"/>
        </w:rPr>
      </w:pPr>
      <w:r>
        <w:rPr>
          <w:rFonts w:ascii="Arial" w:hAnsi="Arial" w:eastAsia="Arial" w:cs="Arial"/>
          <w:color w:val="000000"/>
          <w:sz w:val="24"/>
          <w:szCs w:val="24"/>
          <w:highlight w:val="white"/>
        </w:rPr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6.2.5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Д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ля проведения испытаний полимерные материалы могут быть сгруппированы, если предполагается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что результаты по одной или нескольким характеристикам одного материала в пределах одной группы являются репрезентативными для всех материалов в пределах этой группы (материалы могут быть включены в разные группы для определения различных характеристик).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6.3 </w:t>
      </w:r>
      <w:r>
        <w:rPr>
          <w:rFonts w:ascii="Arial" w:hAnsi="Arial" w:cs="Arial"/>
          <w:b/>
          <w:bCs/>
          <w:sz w:val="24"/>
          <w:szCs w:val="24"/>
        </w:rPr>
        <w:t xml:space="preserve">Документ о качестве</w:t>
      </w:r>
      <w:r>
        <w:rPr>
          <w:rFonts w:ascii="Arial" w:hAnsi="Arial" w:eastAsia="Arial" w:cs="Arial"/>
          <w:b/>
          <w:bCs/>
          <w:sz w:val="24"/>
          <w:szCs w:val="24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При положительных результатах приемо-сдаточных испытаний </w:t>
      </w:r>
      <w:r>
        <w:rPr>
          <w:rFonts w:ascii="Arial" w:hAnsi="Arial" w:cs="Arial"/>
          <w:sz w:val="24"/>
          <w:szCs w:val="24"/>
          <w:highlight w:val="white"/>
          <w:lang w:eastAsia="en-US"/>
        </w:rPr>
        <w:t xml:space="preserve">служба контроля качества изготовителя</w:t>
      </w:r>
      <w:r>
        <w:rPr>
          <w:rFonts w:ascii="Arial" w:hAnsi="Arial" w:cs="Arial"/>
          <w:sz w:val="24"/>
          <w:szCs w:val="24"/>
          <w:lang w:eastAsia="en-US"/>
        </w:rPr>
        <w:t xml:space="preserve"> оформляет документ о качестве на принятую продукцию.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документе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 качестве на материал указывают значения характеристик материала, определенных в соответствии с методами испытаний, приведенными в настоящем стандарте.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Документ о качестве должен содержать следующую информацию: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торговое наименование материала;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наименование и адрес производителя;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способ применения;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результаты испытаний по определению характеристик материала согласно таблице 1;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знак системы сертификации при его наличии;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е) описание материала (тип материала, вид армирования, масса материала на единицу площади или его толщина, вид поверхности);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ж) информация для потребителя: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ограничения, касающиеся применения материала: информация об условиях, при которых невозможен монтаж материалов; а также информация об условиях, при которых возможен монтаж материалов;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ограничения, касающиеся хранения материала;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техника безопасности при укладке и эксплуатации материала.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238" w:before="238"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Cs w:val="28"/>
        </w:rPr>
        <w:t xml:space="preserve">7 </w:t>
      </w:r>
      <w:r>
        <w:rPr>
          <w:rFonts w:ascii="Arial" w:hAnsi="Arial" w:eastAsia="Arial" w:cs="Arial"/>
          <w:b/>
          <w:color w:val="000000"/>
        </w:rPr>
        <w:t xml:space="preserve">Методы испытаний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/>
        <w:spacing/>
        <w:ind/>
        <w:rPr>
          <w:rStyle w:val="1180"/>
          <w:rFonts w:ascii="Arial" w:hAnsi="Arial" w:cs="Arial"/>
          <w:b/>
          <w:bCs/>
          <w:strike/>
          <w:sz w:val="24"/>
          <w:szCs w:val="24"/>
        </w:rPr>
      </w:pPr>
      <w:r>
        <w:rPr>
          <w:rStyle w:val="1180"/>
          <w:rFonts w:ascii="Arial" w:hAnsi="Arial" w:cs="Arial"/>
          <w:b/>
          <w:bCs/>
          <w:sz w:val="24"/>
          <w:szCs w:val="24"/>
        </w:rPr>
        <w:t xml:space="preserve">7.1 Отбор образцов</w:t>
      </w:r>
      <w:r>
        <w:rPr>
          <w:rStyle w:val="1180"/>
          <w:rFonts w:ascii="Arial" w:hAnsi="Arial" w:cs="Arial"/>
          <w:b/>
          <w:bCs/>
          <w:strike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7.1.1 Отбор образцов проводят в соответствии с требованиями ГОСТ EN 13416. Минимальное число испытаний образцов для оценки соответствия продукции должно быть одинаковым при определении всех характеристик. </w:t>
      </w:r>
      <w:r>
        <w:rPr>
          <w:rFonts w:ascii="Arial" w:hAnsi="Arial" w:cs="Arial"/>
          <w:sz w:val="24"/>
          <w:szCs w:val="24"/>
        </w:rPr>
        <w:t xml:space="preserve">Количество и размер образцов, а также процедуру вырубания определяют в соответствии с методикой испытания, указанной в соответствующем нормативном документе.</w:t>
      </w:r>
      <w:r>
        <w:rPr>
          <w:rFonts w:ascii="Arial" w:hAnsi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7.1.2 В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случае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если из-за формы изделия невозможно получить образцы требуемого размера, допускается проводить испытание на образцах других размеров, а если невозможно и это, проводить испытания на сопоставимой мембране той же толщины, что и конечный продукт.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Все отклонения от процедуры испытаний должны быть указаны в протоколе испытаний и технических характеристиках изделия.</w:t>
      </w:r>
      <w:r>
        <w:rPr>
          <w:rFonts w:ascii="Arial" w:hAnsi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7.1.3 Испытания материалов для определени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 характеристик, указанных в настоящем стандарте, проводимые с любой целью, кроме квалификационных и типовых испытаний и текущего контроля готовой продукции на предприятии, должны быть начаты не позднее одного месяца после отгрузки продукции с предприятия.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7.2 </w:t>
      </w:r>
      <w:r>
        <w:rPr>
          <w:rStyle w:val="1180"/>
          <w:rFonts w:ascii="Arial" w:hAnsi="Arial" w:cs="Arial"/>
          <w:b/>
          <w:sz w:val="24"/>
          <w:szCs w:val="24"/>
        </w:rPr>
        <w:t xml:space="preserve">Определение видимых дефектов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sz w:val="24"/>
          <w:szCs w:val="24"/>
        </w:rPr>
        <w:t xml:space="preserve">Видимые дефекты определяют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согласно ГОСТ Е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  <w:lang w:val="en-US"/>
        </w:rPr>
        <w:t xml:space="preserve">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 1850-2.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.3 Определение линейных размеров, предельных отклонени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й</w:t>
      </w:r>
      <w:r>
        <w:rPr>
          <w:rFonts w:ascii="Arial" w:hAnsi="Arial" w:eastAsia="Arial" w:cs="Arial"/>
          <w:b/>
          <w:bCs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Длину, ширину, прямолинейность и плоскостность полотна полимерного материала в рулоне определяют в соответствии с требованиями 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ГОСТ EN 1848-2 (шифр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1.13.144-2.360.23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).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7.4 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Определение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толщины и массы на единицу площади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Толщину и массу материала на единицу площади определяют в соответствии с ГОСТ Е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  <w:lang w:val="en-US"/>
        </w:rPr>
        <w:t xml:space="preserve">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1849-2.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7.5 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 водонепроницаемость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Водонепроницаемость материалов определяют по ГОСТ </w:t>
      </w:r>
      <w:r>
        <w:rPr>
          <w:rFonts w:ascii="Arial" w:hAnsi="Arial" w:eastAsia="Arial" w:cs="Arial"/>
          <w:color w:val="000000" w:themeColor="text1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1928 (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 соответствии с методом A или B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)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при давлении 60 кПа для гидроизоляционных мембран типа A и V и при давлении 200 кПа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в течение 2 ч</w:t>
      </w:r>
      <w:r>
        <w:rPr>
          <w:rFonts w:ascii="Arial" w:hAnsi="Arial" w:cs="Arial"/>
          <w:color w:val="000000" w:themeColor="text1"/>
          <w:sz w:val="24"/>
          <w:szCs w:val="24"/>
          <w:lang w:val="ru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для гидроизоляционных мембран типа T. 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.6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 сопротивление динамическому продавливанию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Сопротивление динамическому продавливанию определяют согласно ГОСТ 31897.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7.7 Определение водонепроницаемости после воздействия термического старения и химических веществ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Cs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7.7.1 </w:t>
      </w:r>
      <w:r>
        <w:rPr>
          <w:rFonts w:ascii="Arial" w:hAnsi="Arial" w:eastAsia="Arial" w:cs="Arial"/>
          <w:bCs/>
          <w:color w:val="000000"/>
          <w:sz w:val="24"/>
          <w:szCs w:val="24"/>
        </w:rPr>
        <w:t xml:space="preserve">Определение водонепроницаемости проводят после искусственного термического старения.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Воздействие методом искусственного термического старения проводят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 соответствии с ГОСТ </w:t>
      </w:r>
      <w:r>
        <w:rPr>
          <w:rFonts w:ascii="Arial" w:hAnsi="Arial" w:eastAsia="Arial" w:cs="Arial"/>
          <w:color w:val="000000" w:themeColor="text1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1296</w:t>
      </w:r>
      <w:r>
        <w:rPr>
          <w:rFonts w:ascii="Arial" w:hAnsi="Arial" w:eastAsia="Arial" w:cs="Arial"/>
          <w:b/>
          <w:color w:val="000000"/>
          <w:sz w:val="21"/>
          <w:szCs w:val="21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при непрерывной выдержке в течение 12 недель.</w:t>
      </w:r>
      <w:r>
        <w:rPr>
          <w:rFonts w:ascii="Arial" w:hAnsi="Arial" w:eastAsia="Arial" w:cs="Arial"/>
          <w:bCs/>
          <w:color w:val="000000"/>
          <w:sz w:val="24"/>
          <w:szCs w:val="24"/>
        </w:rPr>
      </w:r>
    </w:p>
    <w:p>
      <w:pPr>
        <w:pBdr/>
        <w:spacing/>
        <w:ind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Водонепроницаемость проверяют согласно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ГОСТ </w:t>
      </w:r>
      <w:r>
        <w:rPr>
          <w:rFonts w:ascii="Arial" w:hAnsi="Arial" w:eastAsia="Arial" w:cs="Arial"/>
          <w:color w:val="000000" w:themeColor="text1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1928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(метод А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для типов A и V; метод В для типа T).</w:t>
      </w:r>
      <w:r>
        <w:rPr>
          <w:rFonts w:ascii="Arial" w:hAnsi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Гидроизоляционные мембраны типа A и типа V должны быть испытаны согласно 5.5. Испытание должно быть пройдено.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bCs/>
          <w:color w:val="000000"/>
          <w:sz w:val="24"/>
          <w:szCs w:val="24"/>
        </w:rPr>
        <w:t xml:space="preserve">7.7.2 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Водонепроницаемость определяют по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ГОСТ </w:t>
      </w:r>
      <w:r>
        <w:rPr>
          <w:rFonts w:ascii="Arial" w:hAnsi="Arial" w:eastAsia="Arial" w:cs="Arial"/>
          <w:color w:val="000000" w:themeColor="text1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1928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(метод А или В) </w:t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согласно 5.5</w:t>
      </w:r>
      <w:r>
        <w:rPr>
          <w:rFonts w:ascii="Arial" w:hAnsi="Arial" w:eastAsia="Arial" w:cs="Arial"/>
          <w:bCs/>
          <w:color w:val="000000"/>
          <w:sz w:val="24"/>
          <w:szCs w:val="24"/>
        </w:rPr>
        <w:t xml:space="preserve"> после воздействия химических веществ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в соответствии с ГОСТ EN 1847 (шифр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1.13.144-2.363.23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) (жидкость для проведения испытаний – известковое молоко) </w:t>
      </w:r>
      <w:r>
        <w:rPr>
          <w:rFonts w:ascii="Arial" w:hAnsi="Arial" w:eastAsia="Arial" w:cs="Arial"/>
          <w:sz w:val="24"/>
          <w:szCs w:val="24"/>
        </w:rPr>
        <w:t xml:space="preserve">в течение 28 дней при 23 °C. 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7.8 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совместимость с битумом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Совместимость с битумом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определяют в соответствии с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ГОСТ 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EN 1548.</w:t>
      </w:r>
      <w:r>
        <w:rPr>
          <w:rFonts w:ascii="Arial" w:hAnsi="Arial" w:eastAsia="Arial" w:cs="Arial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Изделие подвергают воздействию битума в течение 28 дней при 70 °C, при этом размеры образца должны быть </w:t>
      </w:r>
      <w:r>
        <w:rPr>
          <w:rFonts w:ascii="Arial" w:hAnsi="Arial" w:eastAsia="Arial" w:cs="Arial"/>
          <w:sz w:val="24"/>
          <w:szCs w:val="24"/>
        </w:rPr>
        <w:t xml:space="preserve">достаточными для последующего проведения испытания по определению водонепроницаемости. 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/>
      </w:pPr>
      <w:r>
        <w:rPr>
          <w:rFonts w:ascii="Arial" w:hAnsi="Arial" w:eastAsia="Arial" w:cs="Arial"/>
          <w:sz w:val="24"/>
          <w:szCs w:val="24"/>
        </w:rPr>
        <w:t xml:space="preserve">Последующее испытание на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водонепроницаемость проводят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 соответствии с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ГОСТ </w:t>
      </w:r>
      <w:r>
        <w:rPr>
          <w:rFonts w:ascii="Arial" w:hAnsi="Arial" w:eastAsia="Arial" w:cs="Arial"/>
          <w:color w:val="000000" w:themeColor="text1"/>
          <w:sz w:val="24"/>
          <w:szCs w:val="24"/>
          <w:lang w:val="en-US"/>
        </w:rPr>
        <w:t xml:space="preserve">EN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 1928 (метод А или В)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</w:t>
      </w:r>
      <w:r/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7.9 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 сопротивление 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раздиру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 стержнем гвоздя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С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опротивление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раздиру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 стержнем гвоздя определяют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 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ГОСТ 31898-1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 Результат должен быть больше или равен ПЗП.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</w:t>
      </w:r>
      <w:r>
        <w:rPr>
          <w:rFonts w:ascii="Arial" w:hAnsi="Arial" w:eastAsia="Arial" w:cs="Arial"/>
          <w:b/>
          <w:sz w:val="24"/>
          <w:szCs w:val="24"/>
        </w:rPr>
        <w:t xml:space="preserve">10 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sz w:val="24"/>
          <w:szCs w:val="24"/>
        </w:rPr>
        <w:t xml:space="preserve"> прочность на сдвиг сварного и клеевого соединений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Определение прочности на сдвиг сварного и клеевого соединений проводят в соответствии с ГОСТ ХХХХ (EN 12317-2:2010) (шифр </w:t>
      </w:r>
      <w:r>
        <w:rPr>
          <w:rFonts w:ascii="Arial" w:hAnsi="Arial" w:eastAsia="Arial" w:cs="Arial"/>
          <w:color w:val="000000" w:themeColor="text1"/>
          <w:sz w:val="24"/>
          <w:szCs w:val="24"/>
          <w:highlight w:val="white"/>
        </w:rPr>
        <w:t xml:space="preserve">1.13.144-2.364.23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)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. 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7.11 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sz w:val="24"/>
          <w:szCs w:val="24"/>
        </w:rPr>
        <w:t xml:space="preserve"> </w:t>
      </w:r>
      <w:r>
        <w:rPr>
          <w:rFonts w:ascii="Arial" w:hAnsi="Arial" w:eastAsia="Arial" w:cs="Arial"/>
          <w:b/>
          <w:sz w:val="24"/>
          <w:szCs w:val="24"/>
        </w:rPr>
        <w:t xml:space="preserve">паропроницаемость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Паропроницаемость</w:t>
      </w:r>
      <w:r>
        <w:rPr>
          <w:rFonts w:ascii="Arial" w:hAnsi="Arial" w:eastAsia="Arial" w:cs="Arial"/>
          <w:sz w:val="24"/>
          <w:szCs w:val="24"/>
        </w:rPr>
        <w:t xml:space="preserve"> определяют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в соответствии с ГОСТ 32318</w:t>
      </w:r>
      <w:r>
        <w:rPr>
          <w:rFonts w:ascii="Arial" w:hAnsi="Arial" w:eastAsia="Arial" w:cs="Arial"/>
          <w:sz w:val="24"/>
          <w:szCs w:val="24"/>
        </w:rPr>
        <w:t xml:space="preserve">.</w: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sz w:val="24"/>
          <w:szCs w:val="24"/>
        </w:rPr>
      </w:pPr>
      <w:r>
        <w:rPr>
          <w:rFonts w:ascii="Arial" w:hAnsi="Arial" w:eastAsia="Arial" w:cs="Arial"/>
          <w:b/>
          <w:sz w:val="24"/>
          <w:szCs w:val="24"/>
        </w:rPr>
        <w:t xml:space="preserve">7.12 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Испытание на</w:t>
      </w:r>
      <w:r>
        <w:rPr>
          <w:rFonts w:ascii="Arial" w:hAnsi="Arial" w:cs="Arial"/>
          <w:b/>
          <w:sz w:val="24"/>
          <w:szCs w:val="24"/>
        </w:rPr>
        <w:t xml:space="preserve"> сопротивление статическому продавливанию</w:t>
      </w:r>
      <w:r>
        <w:rPr>
          <w:rFonts w:ascii="Arial" w:hAnsi="Arial" w:eastAsia="Arial" w:cs="Arial"/>
          <w:b/>
          <w:sz w:val="24"/>
          <w:szCs w:val="24"/>
        </w:rPr>
      </w:r>
    </w:p>
    <w:p>
      <w:pPr>
        <w:pBdr/>
        <w:spacing/>
        <w:ind w:firstLine="567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Сопротивление статическому продавливанию </w:t>
      </w:r>
      <w:r>
        <w:rPr>
          <w:rFonts w:ascii="Arial" w:hAnsi="Arial" w:eastAsia="Arial" w:cs="Arial"/>
          <w:sz w:val="24"/>
          <w:szCs w:val="24"/>
        </w:rPr>
        <w:t xml:space="preserve">определяют в соответствии с </w:t>
      </w:r>
      <w:r>
        <w:rPr>
          <w:rFonts w:ascii="Arial" w:hAnsi="Arial" w:eastAsia="Arial" w:cs="Arial"/>
          <w:sz w:val="24"/>
          <w:szCs w:val="24"/>
          <w:highlight w:val="white"/>
        </w:rPr>
        <w:t xml:space="preserve">ГОСТ EN 12730</w:t>
      </w:r>
      <w:r>
        <w:rPr>
          <w:rFonts w:ascii="Arial" w:hAnsi="Arial" w:eastAsia="Arial" w:cs="Arial"/>
          <w:sz w:val="24"/>
          <w:szCs w:val="24"/>
        </w:rPr>
        <w:t xml:space="preserve">-2011 (метод В)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З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начение устойчивости к статической нагрузке определяют по требованию заказчика в соответствии с ГОСТ EN 12730 (метод А).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7.13 </w:t>
      </w:r>
      <w:r>
        <w:rPr>
          <w:rStyle w:val="1180"/>
          <w:rFonts w:ascii="Arial" w:hAnsi="Arial" w:cs="Arial"/>
          <w:b/>
          <w:sz w:val="24"/>
          <w:szCs w:val="24"/>
        </w:rPr>
        <w:t xml:space="preserve">Определение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деформативно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-прочностных характеристик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Для гидроизоляционных мембран без армирования типа A и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типа T, а также мембран без армирования типа A и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типа T с дополнительным слоем из нетканого полотна массой не более 80 г/м</w:t>
      </w:r>
      <w:r>
        <w:rPr>
          <w:rFonts w:ascii="Arial" w:hAnsi="Arial" w:eastAsia="Arial" w:cs="Arial"/>
          <w:color w:val="000000" w:themeColor="text1"/>
          <w:sz w:val="24"/>
          <w:szCs w:val="24"/>
          <w:vertAlign w:val="superscript"/>
        </w:rPr>
        <w:t xml:space="preserve">2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определение условной прочности и относительного удлинения при разрыве проводят в соответствии с ГОСТ 31899-2 (метод В). 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Для гидроизоляционных мембран с армированием типа А и типа Т, а также мембран с армированием и без армирования типа А и типа Т</w:t>
      </w:r>
      <w:r>
        <w:rPr>
          <w:rFonts w:ascii="Arial" w:hAnsi="Arial" w:eastAsia="Arial" w:cs="Arial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с дополнительным слоем из нетканого полотна массой 80 г/м</w:t>
      </w:r>
      <w:r>
        <w:rPr>
          <w:rFonts w:ascii="Arial" w:hAnsi="Arial" w:eastAsia="Arial" w:cs="Arial"/>
          <w:color w:val="000000" w:themeColor="text1"/>
          <w:sz w:val="24"/>
          <w:szCs w:val="24"/>
          <w:vertAlign w:val="superscript"/>
        </w:rPr>
        <w:t xml:space="preserve">2</w:t>
      </w: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 и более максимальную силу растяжения и относительное удлинение при максимальной силе растяжения определяют по ГОСТ 31899-2 (метод А).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  <w:t xml:space="preserve">Для гидроизоляционных мембран типа V максимальную силу растяжения и относительное удлинение при максимальной силе растяжения определяют по ГОСТ 31899-2 (метод А). </w:t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  <w:r>
        <w:rPr>
          <w:rFonts w:ascii="Arial" w:hAnsi="Arial" w:eastAsia="Arial" w:cs="Arial"/>
          <w:color w:val="000000" w:themeColor="text1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 w:themeColor="text1"/>
          <w:sz w:val="24"/>
          <w:szCs w:val="24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eastAsia="Arial" w:cs="Arial"/>
          <w:color w:val="000000" w:themeColor="text1"/>
          <w:sz w:val="24"/>
          <w:szCs w:val="24"/>
          <w:highlight w:val="non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tabs>
          <w:tab w:val="left" w:leader="none" w:pos="1134"/>
        </w:tabs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7.14 </w:t>
      </w:r>
      <w:r>
        <w:rPr>
          <w:rFonts w:ascii="Arial" w:hAnsi="Arial" w:cs="Arial"/>
          <w:b/>
          <w:bCs/>
          <w:sz w:val="24"/>
          <w:szCs w:val="24"/>
        </w:rPr>
        <w:t xml:space="preserve">Испытание на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устойчивость к деформации под нагрузкой 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pBdr/>
        <w:spacing/>
        <w:ind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Значение устойчивости к деформации под нагрузкой гидроизоляционных мембран типа V определяют в соответствии с приложением А. </w:t>
      </w:r>
      <w:r>
        <w:rPr>
          <w:rFonts w:ascii="Arial" w:hAnsi="Arial" w:eastAsia="Arial" w:cs="Arial"/>
          <w:sz w:val="24"/>
          <w:szCs w:val="24"/>
        </w:rPr>
      </w:r>
    </w:p>
    <w:p>
      <w:pPr>
        <w:pStyle w:val="1295"/>
        <w:pBdr/>
        <w:spacing w:after="0" w:line="36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  <w:shd w:val="clear" w:color="auto" w:fill="ffffff"/>
        </w:rPr>
        <w:t xml:space="preserve">5.1.15 </w:t>
      </w:r>
      <w:r>
        <w:rPr>
          <w:rStyle w:val="1180"/>
          <w:b/>
          <w:sz w:val="24"/>
          <w:szCs w:val="24"/>
        </w:rPr>
        <w:t xml:space="preserve">Определение показателей пожарной опасности</w:t>
      </w:r>
      <w:r>
        <w:rPr>
          <w:sz w:val="24"/>
          <w:szCs w:val="24"/>
        </w:rPr>
      </w:r>
    </w:p>
    <w:p>
      <w:pPr>
        <w:pStyle w:val="1246"/>
        <w:pBdr/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eastAsia="Arial" w:cs="Arial"/>
          <w:highlight w:val="white"/>
        </w:rPr>
        <w:t xml:space="preserve">Группу горючести определяют по ГОСТ 30244, группу воспламеняемости – по </w:t>
      </w:r>
      <w:r>
        <w:rPr>
          <w:rFonts w:ascii="Arial" w:hAnsi="Arial" w:eastAsia="Arial" w:cs="Arial"/>
          <w:highlight w:val="white"/>
          <w:lang w:eastAsia="en-US"/>
        </w:rPr>
        <w:t xml:space="preserve">ГОСТ 30402.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cs="Arial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 w:after="240" w:before="240"/>
        <w:ind/>
        <w:jc w:val="left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sz w:val="28"/>
          <w:szCs w:val="28"/>
        </w:rPr>
      </w:r>
      <w:bookmarkStart w:id="13" w:name="_28h4qwu"/>
      <w:r>
        <w:rPr>
          <w:sz w:val="28"/>
          <w:szCs w:val="28"/>
        </w:rPr>
      </w:r>
      <w:bookmarkStart w:id="14" w:name="_nmf14n"/>
      <w:r>
        <w:rPr>
          <w:sz w:val="28"/>
          <w:szCs w:val="28"/>
        </w:rPr>
      </w:r>
      <w:bookmarkEnd w:id="13"/>
      <w:r>
        <w:rPr>
          <w:sz w:val="28"/>
          <w:szCs w:val="28"/>
        </w:rPr>
      </w:r>
      <w:bookmarkEnd w:id="14"/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8 Транспортирование и хранение </w:t>
      </w:r>
      <w:r>
        <w:rPr>
          <w:rFonts w:ascii="Arial" w:hAnsi="Arial" w:cs="Arial"/>
          <w:b/>
          <w:bCs/>
          <w:color w:val="000000"/>
          <w:sz w:val="28"/>
          <w:szCs w:val="28"/>
        </w:rPr>
      </w:r>
      <w:r>
        <w:rPr>
          <w:rFonts w:ascii="Arial" w:hAnsi="Arial" w:cs="Arial"/>
          <w:b/>
          <w:bCs/>
          <w:color w:val="000000"/>
          <w:sz w:val="28"/>
          <w:szCs w:val="28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8.1 Транспортирование и хранение материалов осуществляют в соответствии с требования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ми и указаниями производителя.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/>
        <w:ind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8.2 Транспортирование</w:t>
      </w:r>
      <w:r>
        <w:rPr>
          <w:rFonts w:ascii="Arial" w:hAnsi="Arial" w:cs="Arial"/>
          <w:b/>
          <w:bCs/>
          <w:color w:val="000000"/>
          <w:sz w:val="24"/>
          <w:szCs w:val="24"/>
        </w:rPr>
      </w:r>
      <w:r>
        <w:rPr>
          <w:rFonts w:ascii="Arial" w:hAnsi="Arial" w:cs="Arial"/>
          <w:b/>
          <w:bCs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cs="Arial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8.2.1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Транспортирование материалов следует производить в крытых транспортных средствах. По согласованию с потребителем допускается использовать другие транспортные средства, обеспечивающие сохранность ма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териалов.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8.2.2 Погрузку в транспортные средства и перевозку материалов производят в соответствии с Правилами перевозки грузов, действующими на транспорте данного вида.</w:t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/>
        <w:spacing/>
        <w:ind/>
        <w:rPr>
          <w:rFonts w:ascii="Arial" w:hAnsi="Arial" w:cs="Arial"/>
          <w:bCs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8.2.3 </w:t>
      </w:r>
      <w:r>
        <w:rPr>
          <w:rFonts w:ascii="Arial" w:hAnsi="Arial" w:eastAsia="Arial" w:cs="Arial"/>
          <w:bCs/>
          <w:sz w:val="24"/>
          <w:szCs w:val="24"/>
        </w:rPr>
        <w:t xml:space="preserve">Погрузку и разгрузку материалов производят техническими средствами и вручную </w:t>
      </w:r>
      <w:r>
        <w:rPr>
          <w:rFonts w:ascii="Arial" w:hAnsi="Arial" w:eastAsia="Arial" w:cs="Arial"/>
          <w:bCs/>
          <w:sz w:val="24"/>
          <w:szCs w:val="24"/>
        </w:rPr>
        <w:t xml:space="preserve">способом, исключающим повреждение материалов. </w:t>
      </w:r>
      <w:r>
        <w:rPr>
          <w:rFonts w:ascii="Arial" w:hAnsi="Arial" w:cs="Arial"/>
          <w:bCs/>
          <w:sz w:val="24"/>
          <w:szCs w:val="24"/>
        </w:rPr>
      </w:r>
      <w:r>
        <w:rPr>
          <w:rFonts w:ascii="Arial" w:hAnsi="Arial" w:cs="Arial"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  <w:color w:val="000000"/>
          <w:sz w:val="24"/>
          <w:szCs w:val="24"/>
        </w:rPr>
        <w:t xml:space="preserve">8.3 Хранение</w: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8.3.1 </w:t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Материалы хранят в условиях, обеспечивающих защиту от попадания прямых солнечных лучей </w:t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рассортированными</w:t>
      </w:r>
      <w:r>
        <w:rPr>
          <w:rFonts w:ascii="Arial" w:hAnsi="Arial" w:eastAsia="Arial" w:cs="Arial"/>
          <w:bCs/>
          <w:color w:val="000000" w:themeColor="text1"/>
          <w:sz w:val="24"/>
          <w:szCs w:val="24"/>
        </w:rPr>
        <w:t xml:space="preserve"> по маркам.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</w:r>
      <w:r>
        <w:rPr>
          <w:rFonts w:ascii="Arial" w:hAnsi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/>
        <w:rPr>
          <w:rFonts w:ascii="Arial" w:hAnsi="Arial" w:eastAsia="Arial" w:cs="Arial"/>
          <w:color w:val="0f1115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8.3.2 </w:t>
      </w:r>
      <w:r>
        <w:rPr>
          <w:rFonts w:ascii="Arial" w:hAnsi="Arial" w:eastAsia="Arial" w:cs="Arial"/>
          <w:color w:val="0f1115"/>
          <w:sz w:val="24"/>
          <w:szCs w:val="24"/>
          <w:highlight w:val="white"/>
        </w:rPr>
        <w:t xml:space="preserve">Запрещено хранить материалы вблизи отопительных приборов и источников открытого огня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eastAsia="Arial" w:cs="Arial"/>
          <w:color w:val="0f1115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rFonts w:ascii="Arial" w:hAnsi="Arial" w:eastAsia="Arial" w:cs="Arial"/>
          <w:color w:val="0f1115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hd w:val="clear" w:color="auto" w:fill="ffffff"/>
        <w:spacing w:after="280" w:before="280"/>
        <w:ind/>
        <w:rPr>
          <w:rFonts w:ascii="Arial" w:hAnsi="Arial" w:eastAsia="Arial" w:cs="Arial"/>
          <w:b/>
          <w:color w:val="000000"/>
        </w:rPr>
      </w:pPr>
      <w:r>
        <w:rPr>
          <w:rFonts w:ascii="Arial" w:hAnsi="Arial" w:eastAsia="Arial" w:cs="Arial"/>
          <w:b/>
          <w:color w:val="000000"/>
        </w:rPr>
        <w:t xml:space="preserve">9 Гарантии изготовителя</w:t>
      </w:r>
      <w:r>
        <w:rPr>
          <w:rFonts w:ascii="Arial" w:hAnsi="Arial" w:eastAsia="Arial" w:cs="Arial"/>
          <w:b/>
          <w:color w:val="000000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9.1 Изготовитель гарантирует соответствие материалов требованиям настоящего стандарта в течение гарантийного срока хранения при соблюдении потребителем условий транспортирования и хранения.</w:t>
      </w:r>
      <w:r>
        <w:rPr>
          <w:rFonts w:ascii="Arial" w:hAnsi="Arial" w:cs="Arial"/>
          <w:highlight w:val="white"/>
        </w:rPr>
      </w:r>
    </w:p>
    <w:p>
      <w:pPr>
        <w:pStyle w:val="1246"/>
        <w:pBdr/>
        <w:spacing w:line="360" w:lineRule="auto"/>
        <w:ind w:firstLine="680"/>
        <w:jc w:val="both"/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  <w:lang w:eastAsia="en-US"/>
        </w:rPr>
        <w:t xml:space="preserve">9.2 Гарантийный срок хранения изготовитель указывает в технической документации для конкретного типа материала. </w:t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highlight w:val="white"/>
        </w:rPr>
      </w:r>
      <w:r>
        <w:rPr>
          <w:rFonts w:ascii="Arial" w:hAnsi="Arial" w:cs="Arial"/>
          <w:b/>
          <w:szCs w:val="24"/>
        </w:rPr>
        <w:br w:type="page" w:clear="all"/>
      </w:r>
      <w:r>
        <w:rPr>
          <w:rFonts w:ascii="Arial" w:hAnsi="Arial" w:cs="Arial"/>
          <w:b/>
          <w:szCs w:val="28"/>
        </w:rPr>
      </w:r>
      <w:r>
        <w:rPr>
          <w:rFonts w:ascii="Arial" w:hAnsi="Arial" w:cs="Arial"/>
          <w:highlight w:val="white"/>
        </w:rPr>
      </w:r>
    </w:p>
    <w:p>
      <w:pPr>
        <w:widowControl w:val="true"/>
        <w:pBdr/>
        <w:spacing/>
        <w:ind w:firstLine="0"/>
        <w:jc w:val="center"/>
        <w:rPr>
          <w:rFonts w:ascii="Arial" w:hAnsi="Arial" w:eastAsia="Arial" w:cs="Arial"/>
          <w:b/>
          <w:bCs/>
          <w:szCs w:val="28"/>
        </w:rPr>
      </w:pPr>
      <w:r>
        <w:rPr>
          <w:rFonts w:ascii="Arial" w:hAnsi="Arial" w:eastAsia="Arial" w:cs="Arial"/>
          <w:b/>
          <w:bCs/>
          <w:szCs w:val="28"/>
        </w:rPr>
        <w:t xml:space="preserve">Приложение А</w:t>
      </w:r>
      <w:r>
        <w:rPr>
          <w:rFonts w:ascii="Arial" w:hAnsi="Arial" w:eastAsia="Arial" w:cs="Arial"/>
          <w:b/>
          <w:bCs/>
          <w:szCs w:val="28"/>
        </w:rPr>
      </w:r>
    </w:p>
    <w:p>
      <w:pPr>
        <w:widowControl w:val="true"/>
        <w:pBdr/>
        <w:spacing/>
        <w:ind w:firstLine="0"/>
        <w:jc w:val="center"/>
        <w:rPr>
          <w:rFonts w:ascii="Arial" w:hAnsi="Arial" w:eastAsia="Arial" w:cs="Arial"/>
          <w:b/>
          <w:bCs/>
          <w:szCs w:val="28"/>
        </w:rPr>
      </w:pPr>
      <w:r>
        <w:rPr>
          <w:rFonts w:ascii="Arial" w:hAnsi="Arial" w:eastAsia="Arial" w:cs="Arial"/>
          <w:b/>
          <w:bCs/>
          <w:szCs w:val="28"/>
        </w:rPr>
        <w:t xml:space="preserve">(обязательное)</w:t>
      </w:r>
      <w:r>
        <w:rPr>
          <w:rFonts w:ascii="Arial" w:hAnsi="Arial" w:eastAsia="Arial" w:cs="Arial"/>
          <w:b/>
          <w:bCs/>
          <w:szCs w:val="28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right="-2" w:firstLine="0"/>
        <w:jc w:val="center"/>
        <w:rPr>
          <w:rFonts w:ascii="Arial" w:hAnsi="Arial" w:eastAsia="Arial" w:cs="Arial"/>
          <w:b/>
          <w:color w:val="000000"/>
          <w:szCs w:val="28"/>
        </w:rPr>
      </w:pPr>
      <w:r/>
      <w:bookmarkStart w:id="28" w:name="_1mrcu09"/>
      <w:r/>
      <w:bookmarkEnd w:id="28"/>
      <w:r>
        <w:rPr>
          <w:rFonts w:ascii="Arial" w:hAnsi="Arial" w:eastAsia="Arial" w:cs="Arial"/>
          <w:b/>
          <w:color w:val="000000"/>
          <w:szCs w:val="28"/>
        </w:rPr>
        <w:t xml:space="preserve">Метод </w:t>
      </w:r>
      <w:r>
        <w:rPr>
          <w:rFonts w:ascii="Arial" w:hAnsi="Arial" w:eastAsia="Arial" w:cs="Arial"/>
          <w:b/>
          <w:szCs w:val="28"/>
        </w:rPr>
        <w:t xml:space="preserve">определения </w:t>
      </w:r>
      <w:r>
        <w:rPr>
          <w:rFonts w:ascii="Arial" w:hAnsi="Arial" w:eastAsia="Arial" w:cs="Arial"/>
          <w:b/>
          <w:color w:val="000000"/>
          <w:szCs w:val="28"/>
        </w:rPr>
        <w:t xml:space="preserve">деформации под нагрузкой гидроизоляционной мембраны с функцией </w:t>
      </w:r>
      <w:r>
        <w:rPr>
          <w:rFonts w:ascii="Arial" w:hAnsi="Arial" w:eastAsia="Arial" w:cs="Arial"/>
          <w:b/>
          <w:color w:val="000000"/>
          <w:szCs w:val="28"/>
        </w:rPr>
        <w:t xml:space="preserve">водозащиты</w:t>
      </w:r>
      <w:r>
        <w:rPr>
          <w:rFonts w:ascii="Arial" w:hAnsi="Arial" w:eastAsia="Arial" w:cs="Arial"/>
          <w:b/>
          <w:color w:val="000000"/>
          <w:szCs w:val="28"/>
        </w:rPr>
        <w:t xml:space="preserve">, </w:t>
      </w:r>
      <w:r>
        <w:rPr>
          <w:rFonts w:ascii="Arial" w:hAnsi="Arial" w:eastAsia="Arial" w:cs="Arial"/>
          <w:b/>
          <w:szCs w:val="28"/>
        </w:rPr>
        <w:t xml:space="preserve">вентиляции</w:t>
      </w:r>
      <w:r>
        <w:rPr>
          <w:rFonts w:ascii="Arial" w:hAnsi="Arial" w:eastAsia="Arial" w:cs="Arial"/>
          <w:b/>
          <w:color w:val="000000"/>
          <w:szCs w:val="28"/>
        </w:rPr>
        <w:t xml:space="preserve"> или дренажа (тип </w:t>
      </w:r>
      <w:r>
        <w:rPr>
          <w:rFonts w:ascii="Arial" w:hAnsi="Arial" w:eastAsia="Arial" w:cs="Arial"/>
          <w:b/>
          <w:color w:val="000000"/>
          <w:szCs w:val="28"/>
          <w:lang w:val="en-US"/>
        </w:rPr>
        <w:t xml:space="preserve">V</w:t>
      </w:r>
      <w:r>
        <w:rPr>
          <w:rFonts w:ascii="Arial" w:hAnsi="Arial" w:eastAsia="Arial" w:cs="Arial"/>
          <w:b/>
          <w:color w:val="000000"/>
          <w:szCs w:val="28"/>
        </w:rPr>
        <w:t xml:space="preserve">)</w:t>
      </w:r>
      <w:r>
        <w:rPr>
          <w:rFonts w:ascii="Arial" w:hAnsi="Arial" w:eastAsia="Arial" w:cs="Arial"/>
          <w:b/>
          <w:color w:val="000000"/>
          <w:szCs w:val="28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29" w:name="_46r0co2"/>
      <w:r/>
      <w:bookmarkEnd w:id="29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Б.1 Описание метода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Метод определения устойчивост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и к деформации под нагрузкой термопластичных гидроизоляционных мембран с барьером влаги и задней вентиляцией или дренажем предназначен для первичной проверки и для контроля качества. Метод испытания используют для определения устойчивости профилированных (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неуровневых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) гидроизоляционных мембран с барьером влаги, которые также предусмотрены для задней вентиляции или отвода воды, к деформации под нагрузкой.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Образец подвергают определенной нагрузке. Дефо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рмацию регистрируют как функцию времени. За исключением плоских мембран метод испытания применим для изделий с признаками ползучести, данный метод испытания позволяет определить способность изделия сохранять свою форму при определенной постоянной нагрузке.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Нагрузку определяют, как требуемую расчетную нагрузку плюс коэффициент запаса прочности. Продолжительность испытания определяют с учетом деформации, зависящей от времени, исходя из допустимой степени деформации и ожидаемого срока службы изделия.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Эти коэффициенты показаны на рисунках Б.1 и Б.2. Экстраполяция не должна выполняться за пределами логарифмической единицы времени, а экстраполированная часть данных должна быть четко обозначена пунктирной линией.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/>
        <w:spacing/>
        <w:ind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07653" cy="2298664"/>
                <wp:effectExtent l="0" t="0" r="0" b="0"/>
                <wp:docPr id="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0784472" name="image3.png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507652" cy="22986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54.93pt;height:181.00pt;mso-wrap-distance-left:0.00pt;mso-wrap-distance-top:0.00pt;mso-wrap-distance-right:0.00pt;mso-wrap-distance-bottom:0.00pt;z-index:1;">
                <v:imagedata r:id="rId22" o:title=""/>
                <o:lock v:ext="edit" rotation="t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25400</wp:posOffset>
                </wp:positionV>
                <wp:extent cx="4403725" cy="2466340"/>
                <wp:effectExtent l="0" t="0" r="0" b="0"/>
                <wp:wrapNone/>
                <wp:docPr id="3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403724" cy="2466339"/>
                          <a:chOff x="3144137" y="2546829"/>
                          <a:chExt cx="4403724" cy="2466339"/>
                        </a:xfrm>
                      </wpg:grpSpPr>
                      <wpg:grpSp>
                        <wpg:cNvGrpSpPr/>
                        <wpg:grpSpPr bwMode="auto">
                          <a:xfrm>
                            <a:off x="3144137" y="2546829"/>
                            <a:ext cx="4403724" cy="2466339"/>
                            <a:chOff x="2274" y="8654"/>
                            <a:chExt cx="6934" cy="3883"/>
                          </a:xfrm>
                        </wpg:grpSpPr>
                        <wps:wsp>
                          <wps:cNvPr id="0" name=""/>
                          <wps:cNvSpPr/>
                          <wps:spPr bwMode="auto">
                            <a:xfrm>
                              <a:off x="2274" y="8654"/>
                              <a:ext cx="6924" cy="3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 w:line="240" w:lineRule="auto"/>
                                  <w:ind w:firstLine="0" w:left="-425"/>
                                  <w:jc w:val="left"/>
                                  <w:rPr/>
                                </w:pPr>
                                <w:r/>
                                <w:r/>
                              </w:p>
                            </w:txbxContent>
                          </wps:txbx>
                          <wps:bodyPr spcFirstLastPara="1" wrap="square" lIns="91423" tIns="91423" rIns="91423" bIns="91423" anchor="ctr" anchorCtr="0">
                            <a:noAutofit/>
                          </wps:bodyPr>
                        </wps:wsp>
                        <wps:wsp>
                          <wps:cNvPr id="1" name=""/>
                          <wps:cNvSpPr/>
                          <wps:spPr bwMode="auto">
                            <a:xfrm>
                              <a:off x="2274" y="8654"/>
                              <a:ext cx="292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 w:after="40" w:before="40" w:line="240" w:lineRule="auto"/>
                                  <w:ind/>
                                  <w:jc w:val="center"/>
                                  <w:rPr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D</w:t>
                                </w:r>
                                <w:r/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2" name=""/>
                          <wps:cNvSpPr/>
                          <wps:spPr bwMode="auto">
                            <a:xfrm>
                              <a:off x="9043" y="12055"/>
                              <a:ext cx="164" cy="4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/>
                                  <w:ind/>
                                  <w:jc w:val="center"/>
                                  <w:rPr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t</w:t>
                                </w:r>
                                <w:r/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z-index:251658240;o:allowoverlap:true;o:allowincell:true;mso-position-horizontal-relative:text;margin-left:71.00pt;mso-position-horizontal:absolute;mso-position-vertical-relative:text;margin-top:2.00pt;mso-position-vertical:absolute;width:346.75pt;height:194.20pt;mso-wrap-distance-left:9.00pt;mso-wrap-distance-top:0.00pt;mso-wrap-distance-right:9.00pt;mso-wrap-distance-bottom:0.00pt;" coordorigin="31441,25468" coordsize="44037,24663">
                <v:group id="group 3" o:spid="_x0000_s0000" style="position:absolute;left:31441;top:25468;width:44037;height:24663;" coordorigin="22,86" coordsize="69,38">
                  <v:shape id="shape 4" o:spid="_x0000_s4" o:spt="1" type="#_x0000_t1" style="position:absolute;left:22;top:86;width:69;height:38;v-text-anchor:middle;visibility:visible;" filled="f" stroked="f">
                    <v:textbox inset="0,0,0,0">
                      <w:txbxContent>
                        <w:p>
                          <w:pPr>
                            <w:pBdr/>
                            <w:spacing w:line="240" w:lineRule="auto"/>
                            <w:ind w:firstLine="0" w:left="-425"/>
                            <w:jc w:val="left"/>
                            <w:rPr/>
                          </w:pPr>
                          <w:r/>
                          <w:r/>
                        </w:p>
                      </w:txbxContent>
                    </v:textbox>
                  </v:shape>
                  <v:shape id="shape 5" o:spid="_x0000_s5" o:spt="1" type="#_x0000_t1" style="position:absolute;left:22;top:86;width:2;height:4;v-text-anchor:top;visibility:visible;" fillcolor="#FFFFFF" stroked="f">
                    <v:textbox inset="0,0,0,0">
                      <w:txbxContent>
                        <w:p>
                          <w:pPr>
                            <w:pBdr/>
                            <w:spacing w:after="40" w:before="40" w:line="240" w:lineRule="auto"/>
                            <w:ind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D</w:t>
                          </w:r>
                          <w:r/>
                        </w:p>
                      </w:txbxContent>
                    </v:textbox>
                  </v:shape>
                  <v:shape id="shape 6" o:spid="_x0000_s6" o:spt="1" type="#_x0000_t1" style="position:absolute;left:90;top:120;width:1;height:4;v-text-anchor:top;visibility:visible;" fillcolor="#FFFFFF" stroked="f">
                    <v:textbox inset="0,0,0,0"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t</w:t>
                          </w:r>
                          <w:r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i/>
          <w:color w:val="000000"/>
          <w:sz w:val="22"/>
          <w:szCs w:val="22"/>
        </w:rPr>
        <w:t xml:space="preserve">D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деформация, %; </w:t>
      </w:r>
      <w:r>
        <w:rPr>
          <w:rFonts w:ascii="Arial" w:hAnsi="Arial" w:eastAsia="Arial" w:cs="Arial"/>
          <w:i/>
          <w:color w:val="000000"/>
          <w:sz w:val="22"/>
          <w:szCs w:val="22"/>
        </w:rPr>
        <w:t xml:space="preserve">t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время,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ч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142"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Рисунок Б.1 – Типичная кривая деформации как функция времени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pBdr/>
        <w:spacing/>
        <w:ind/>
        <w:jc w:val="center"/>
        <w:rPr>
          <w:rFonts w:ascii="Arial" w:hAnsi="Arial" w:eastAsia="Arial" w:cs="Arial"/>
          <w:sz w:val="24"/>
          <w:szCs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736600</wp:posOffset>
                </wp:positionV>
                <wp:extent cx="2289810" cy="1604010"/>
                <wp:effectExtent l="0" t="0" r="0" b="0"/>
                <wp:wrapNone/>
                <wp:docPr id="4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289809" cy="1604009"/>
                          <a:chOff x="4201094" y="2977994"/>
                          <a:chExt cx="2289809" cy="1604009"/>
                        </a:xfrm>
                      </wpg:grpSpPr>
                      <wpg:grpSp>
                        <wpg:cNvGrpSpPr/>
                        <wpg:grpSpPr bwMode="auto">
                          <a:xfrm>
                            <a:off x="4201094" y="2977994"/>
                            <a:ext cx="2289809" cy="1604009"/>
                            <a:chOff x="2340" y="2876"/>
                            <a:chExt cx="3605" cy="2525"/>
                          </a:xfrm>
                        </wpg:grpSpPr>
                        <wps:wsp>
                          <wps:cNvPr id="0" name=""/>
                          <wps:cNvSpPr/>
                          <wps:spPr bwMode="auto">
                            <a:xfrm>
                              <a:off x="2340" y="2876"/>
                              <a:ext cx="3600" cy="25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 w:line="240" w:lineRule="auto"/>
                                  <w:ind w:firstLine="0"/>
                                  <w:jc w:val="left"/>
                                  <w:rPr/>
                                </w:pPr>
                                <w:r/>
                                <w:r/>
                              </w:p>
                            </w:txbxContent>
                          </wps:txbx>
                          <wps:bodyPr spcFirstLastPara="1" wrap="square" lIns="91423" tIns="91423" rIns="91423" bIns="91423" anchor="ctr" anchorCtr="0">
                            <a:noAutofit/>
                          </wps:bodyPr>
                        </wps:wsp>
                        <wps:wsp>
                          <wps:cNvPr id="1" name=""/>
                          <wps:cNvSpPr/>
                          <wps:spPr bwMode="auto">
                            <a:xfrm>
                              <a:off x="2340" y="2876"/>
                              <a:ext cx="292" cy="40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 w:after="40" w:before="40" w:line="240" w:lineRule="auto"/>
                                  <w:ind/>
                                  <w:jc w:val="center"/>
                                  <w:rPr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D</w:t>
                                </w:r>
                                <w:r/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2" name=""/>
                          <wps:cNvSpPr/>
                          <wps:spPr bwMode="auto">
                            <a:xfrm>
                              <a:off x="5780" y="4919"/>
                              <a:ext cx="164" cy="48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Bdr/>
                                  <w:spacing/>
                                  <w:ind/>
                                  <w:jc w:val="center"/>
                                  <w:rPr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t</w:t>
                                </w:r>
                                <w:r/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7" o:spid="_x0000_s0000" style="position:absolute;z-index:251659264;o:allowoverlap:true;o:allowincell:true;mso-position-horizontal-relative:text;margin-left:60.00pt;mso-position-horizontal:absolute;mso-position-vertical-relative:text;margin-top:58.00pt;mso-position-vertical:absolute;width:180.30pt;height:126.30pt;mso-wrap-distance-left:9.00pt;mso-wrap-distance-top:0.00pt;mso-wrap-distance-right:9.00pt;mso-wrap-distance-bottom:0.00pt;" coordorigin="42010,29779" coordsize="22898,16040">
                <v:group id="group 8" o:spid="_x0000_s0000" style="position:absolute;left:42010;top:29779;width:22898;height:16040;" coordorigin="23,28" coordsize="36,25">
                  <v:shape id="shape 9" o:spid="_x0000_s9" o:spt="1" type="#_x0000_t1" style="position:absolute;left:23;top:28;width:36;height:25;v-text-anchor:middle;visibility:visible;" filled="f" stroked="f">
                    <v:textbox inset="0,0,0,0">
                      <w:txbxContent>
                        <w:p>
                          <w:pPr>
                            <w:pBdr/>
                            <w:spacing w:line="240" w:lineRule="auto"/>
                            <w:ind w:firstLine="0"/>
                            <w:jc w:val="left"/>
                            <w:rPr/>
                          </w:pPr>
                          <w:r/>
                          <w:r/>
                        </w:p>
                      </w:txbxContent>
                    </v:textbox>
                  </v:shape>
                  <v:shape id="shape 10" o:spid="_x0000_s10" o:spt="1" type="#_x0000_t1" style="position:absolute;left:23;top:28;width:2;height:4;v-text-anchor:top;visibility:visible;" fillcolor="#FFFFFF" stroked="f">
                    <v:textbox inset="0,0,0,0">
                      <w:txbxContent>
                        <w:p>
                          <w:pPr>
                            <w:pBdr/>
                            <w:spacing w:after="40" w:before="40" w:line="240" w:lineRule="auto"/>
                            <w:ind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D</w:t>
                          </w:r>
                          <w:r/>
                        </w:p>
                      </w:txbxContent>
                    </v:textbox>
                  </v:shape>
                  <v:shape id="shape 11" o:spid="_x0000_s11" o:spt="1" type="#_x0000_t1" style="position:absolute;left:57;top:49;width:1;height:4;v-text-anchor:top;visibility:visible;" fillcolor="#FFFFFF" stroked="f">
                    <v:textbox inset="0,0,0,0"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/>
                          </w:pPr>
                          <w:r>
                            <w:rPr>
                              <w:color w:val="000000"/>
                            </w:rPr>
                            <w:t xml:space="preserve">t</w:t>
                          </w:r>
                          <w:r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Arial" w:hAnsi="Arial" w:eastAsia="Arial" w:cs="Arial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i/>
          <w:color w:val="000000"/>
          <w:sz w:val="22"/>
          <w:szCs w:val="22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7785" cy="2379134"/>
                <wp:effectExtent l="0" t="0" r="0" b="2540"/>
                <wp:docPr id="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796406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173474" cy="2391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405.34pt;height:187.33pt;mso-wrap-distance-left:0.00pt;mso-wrap-distance-top:0.00pt;mso-wrap-distance-right:0.00pt;mso-wrap-distance-bottom:0.00pt;z-index:1;" stroked="f">
                <v:imagedata r:id="rId23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i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i/>
          <w:color w:val="000000"/>
          <w:sz w:val="22"/>
          <w:szCs w:val="22"/>
        </w:rPr>
        <w:t xml:space="preserve">D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деформация; %; </w:t>
      </w:r>
      <w:r>
        <w:rPr>
          <w:rFonts w:ascii="Arial" w:hAnsi="Arial" w:eastAsia="Arial" w:cs="Arial"/>
          <w:i/>
          <w:color w:val="000000"/>
          <w:sz w:val="22"/>
          <w:szCs w:val="22"/>
        </w:rPr>
        <w:t xml:space="preserve">t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время, 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ч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1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rFonts w:ascii="Symbol" w:hAnsi="Symbol" w:eastAsia="Symbol" w:cs="Symbol"/>
          <w:color w:val="000000"/>
          <w:sz w:val="22"/>
          <w:szCs w:val="22"/>
        </w:rPr>
        <w:t xml:space="preserve">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1 год; </w:t>
      </w: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2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rFonts w:ascii="Symbol" w:hAnsi="Symbol" w:eastAsia="Symbol" w:cs="Symbol"/>
          <w:color w:val="000000"/>
          <w:sz w:val="22"/>
          <w:szCs w:val="22"/>
        </w:rPr>
        <w:t xml:space="preserve">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10 лет; </w:t>
      </w:r>
      <w:r>
        <w:rPr>
          <w:rFonts w:ascii="Arial" w:hAnsi="Arial" w:eastAsia="Arial" w:cs="Arial"/>
          <w:i/>
          <w:iCs/>
          <w:color w:val="000000"/>
          <w:sz w:val="22"/>
          <w:szCs w:val="22"/>
        </w:rPr>
        <w:t xml:space="preserve">3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</w:t>
      </w:r>
      <w:r>
        <w:rPr>
          <w:rFonts w:ascii="Symbol" w:hAnsi="Symbol" w:eastAsia="Symbol" w:cs="Symbol"/>
          <w:color w:val="000000"/>
          <w:sz w:val="22"/>
          <w:szCs w:val="22"/>
        </w:rPr>
        <w:t xml:space="preserve">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50 лет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Рисунок Б.2 – Типичное логарифмическое представление как функция времени для определения деформации в течение расчетного срока службы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30" w:name="_2lwamvv"/>
      <w:r/>
      <w:bookmarkEnd w:id="30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Б.2 Испытательное оборудование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Для проведения испытания применяют исп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ытательное устройство с грузами, показанное на рисунке Б.3. 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pBdr/>
        <w:spacing/>
        <w:ind w:firstLine="0"/>
        <w:jc w:val="center"/>
        <w:rPr>
          <w:rFonts w:ascii="Arial" w:hAnsi="Arial" w:eastAsia="Arial" w:cs="Arial"/>
          <w:sz w:val="24"/>
          <w:szCs w:val="24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33782" cy="3378200"/>
                <wp:effectExtent l="0" t="0" r="0" b="0"/>
                <wp:docPr id="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3097966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337893" cy="3382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262.50pt;height:266.00pt;mso-wrap-distance-left:0.00pt;mso-wrap-distance-top:0.00pt;mso-wrap-distance-right:0.00pt;mso-wrap-distance-bottom:0.00pt;z-index:1;" stroked="f">
                <v:imagedata r:id="rId24" o:title=""/>
                <o:lock v:ext="edit" rotation="t"/>
              </v:shape>
            </w:pict>
          </mc:Fallback>
        </mc:AlternateContent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– грузы; </w:t>
      </w:r>
      <w:r>
        <w:rPr>
          <w:rFonts w:ascii="Arial" w:hAnsi="Arial" w:eastAsia="Arial" w:cs="Arial"/>
          <w:i/>
          <w:iCs/>
          <w:color w:val="000000"/>
          <w:sz w:val="24"/>
          <w:szCs w:val="24"/>
        </w:rPr>
        <w:t xml:space="preserve">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– средство измерений деформации; </w:t>
      </w:r>
      <w:r>
        <w:rPr>
          <w:rFonts w:ascii="Arial" w:hAnsi="Arial" w:eastAsia="Arial" w:cs="Arial"/>
          <w:i/>
          <w:iCs/>
          <w:color w:val="000000"/>
          <w:sz w:val="24"/>
          <w:szCs w:val="24"/>
        </w:rPr>
        <w:t xml:space="preserve">3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– несущий каркас;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i/>
          <w:iCs/>
          <w:color w:val="000000"/>
          <w:sz w:val="24"/>
          <w:szCs w:val="24"/>
        </w:rPr>
        <w:t xml:space="preserve">4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– фундаментная плита; </w:t>
      </w:r>
      <w:r>
        <w:rPr>
          <w:rFonts w:ascii="Arial" w:hAnsi="Arial" w:eastAsia="Arial" w:cs="Arial"/>
          <w:i/>
          <w:iCs/>
          <w:color w:val="000000"/>
          <w:sz w:val="24"/>
          <w:szCs w:val="24"/>
        </w:rPr>
        <w:t xml:space="preserve">5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– внутренняя часть образца для испытаний; 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 w:firstLine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i/>
          <w:iCs/>
          <w:color w:val="000000"/>
          <w:sz w:val="24"/>
          <w:szCs w:val="24"/>
        </w:rPr>
        <w:t xml:space="preserve">6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 – пластина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Рисунок Б.3 - Испытательное устройство с грузами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center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31" w:name="_111kx3o"/>
      <w:r/>
      <w:bookmarkStart w:id="32" w:name="_3l18frh"/>
      <w:r/>
      <w:bookmarkEnd w:id="31"/>
      <w:r/>
      <w:bookmarkEnd w:id="32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Б.3 Образцы для испытаний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Образцы для испыта</w:t>
      </w:r>
      <w:r>
        <w:rPr>
          <w:rFonts w:ascii="Arial" w:hAnsi="Arial" w:eastAsia="Arial" w:cs="Arial"/>
          <w:color w:val="000000"/>
          <w:sz w:val="24"/>
          <w:szCs w:val="24"/>
          <w:highlight w:val="white"/>
        </w:rPr>
        <w:t xml:space="preserve">ний подготавливают в соо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тветствии с ГОСТ EN 13416.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33" w:name="_206ipza"/>
      <w:r/>
      <w:bookmarkEnd w:id="33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Б.4 Подготовка внутренней части образца для испытаний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Квадратные или прямоугольные внутренние части образцов для испытаний с минимальной длиной кромки 120 мм должны использоваться для того, чтобы результаты испытаний отражали расчетные нагрузки и требуемые характеристики тестируемого изделия.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pacing w:val="60"/>
          <w:sz w:val="22"/>
          <w:szCs w:val="22"/>
        </w:rPr>
        <w:t xml:space="preserve">Примечание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Минимальный размер внутренней части испытуемого образца может быть подтвержден типовым испытанием в зависимости от высоты профиля, в результате эффект пониженного сопротивления нагрузке на краях испытуемого образца устраняется.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Внутренние части образцов для испытаний выдерживают не менее 24 ч при температуре (23 ± 2) ° C и относительной влажности (50 ± 20) %.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</w:rPr>
      </w:pPr>
      <w:r/>
      <w:bookmarkStart w:id="34" w:name="_4k668n3"/>
      <w:r/>
      <w:bookmarkEnd w:id="34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Б.5 Метод испытания</w:t>
      </w:r>
      <w:r>
        <w:rPr>
          <w:rFonts w:ascii="Arial" w:hAnsi="Arial" w:eastAsia="Arial" w:cs="Arial"/>
          <w:b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Внутреннюю часть образца для испытаний помещают между параллельными жесткими прижимными пластинами устройства, которые позволяют равномерно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распределять нагрузку по всей поверхности внутренней части образца. Нагрузку прикладывают с использованием грузов или другого сопоставимог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 метода. Деформацию регистрируют как функцию времени. Перед установкой средства измерения деформации на ноль к внутренней части испытательного образца прикладывают предварительную нагрузку, достаточную для выравнивания испытуемой внутренней части образца.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Устройство должно быть установлено на ноль для измерения деформации таким образом, чтобы деформация до достижения нулевого положения была исключена либо незначительна. Деформацию измеряют непосредственно на 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прижимной пластине или как можно ближе к внутренней части образца, чтобы исключить ошибки деформации в устройстве. Средства измерений деформации должны иметь предел допускаемой погрешности не более ±0,02 мм. Все результаты должны быть округлены до 0,01 мм.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Если результаты должны быть представлены в процентах, высоту изделия измеряют до приложения нагрузки. Среднее значение должно быть определено для каждой внутренней части образца.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Необходимо определить размер внутренней части образца для испытания.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Испытание проводят при температуре (23 ± 2) °С.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Внутреннюю часть образца для испытаний пом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ещают между прижимными пластинами и, при необходимости, прикладывают предварительную нагрузку, а средство измерений устойчивости к деформации под нагрузкой деформации устанавливают на ноль. Нагрузку следует прикладывать как можно более равномерно и быстро.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Внутреннюю ча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сть образца для испытаний подвергают постоянной статической нагрузке в течение определенного периода времени при относительной влажности (50 ± 20) %. Если относительная влажность не влияет на тестируемое свойство, относительной влажностью можно пренебречь.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Деформацию измеряют как функцию времени в миллиметрах.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pacing w:val="24"/>
          <w:sz w:val="22"/>
          <w:szCs w:val="22"/>
        </w:rPr>
        <w:t xml:space="preserve">Примечание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Обычно наибольшая деформаци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я возникает в начале испытания, и измерения проводят через короткие промежутки времени. Поскольку деформация уменьшается как функция времени, временные интервалы между измерениями деформации в ходе тестирования могут быть увеличены (см. рисунки А.1 и А.2).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  <w:highlight w:val="white"/>
        </w:rPr>
      </w:pPr>
      <w:r/>
      <w:bookmarkStart w:id="35" w:name="_2zbgiuw"/>
      <w:r/>
      <w:bookmarkEnd w:id="35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.6 Обработка результатов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Деформацию выражают в миллиметрах или в процентах от начальной высоты изделия для данной постоянной статической нагрузки в течение указанного времени. Постоянная статическая нагрузка должна быть указана в килоньютонах на квадратный метр (кН/м</w:t>
      </w:r>
      <w:r>
        <w:rPr>
          <w:rFonts w:ascii="Arial" w:hAnsi="Arial" w:eastAsia="Arial" w:cs="Arial"/>
          <w:color w:val="000000"/>
          <w:sz w:val="24"/>
          <w:szCs w:val="24"/>
          <w:vertAlign w:val="superscript"/>
        </w:rPr>
        <w:t xml:space="preserve">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) и рассчитана исходя из заданной испытательной нагрузки в зависимости от размера внутренней части образца.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pacing w:val="24"/>
          <w:sz w:val="22"/>
          <w:szCs w:val="22"/>
        </w:rPr>
        <w:t xml:space="preserve">Примечание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 – Кривая деформации как функции времени может быть построена для начального испытания (см. рисунки А.1 и А.2).</w:t>
      </w:r>
      <w:r>
        <w:rPr>
          <w:rFonts w:ascii="Arial" w:hAnsi="Arial" w:eastAsia="Arial" w:cs="Arial"/>
          <w:color w:val="000000"/>
          <w:sz w:val="22"/>
          <w:szCs w:val="22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jc w:val="left"/>
        <w:rPr>
          <w:rFonts w:ascii="Arial" w:hAnsi="Arial" w:eastAsia="Arial" w:cs="Arial"/>
          <w:b/>
          <w:color w:val="000000"/>
          <w:sz w:val="24"/>
          <w:szCs w:val="24"/>
          <w:highlight w:val="white"/>
        </w:rPr>
      </w:pPr>
      <w:r/>
      <w:bookmarkStart w:id="36" w:name="_1egqt2p"/>
      <w:r/>
      <w:bookmarkEnd w:id="36"/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  <w:t xml:space="preserve">.7 Протокол испытаний </w:t>
      </w:r>
      <w:r>
        <w:rPr>
          <w:rFonts w:ascii="Arial" w:hAnsi="Arial" w:eastAsia="Arial" w:cs="Arial"/>
          <w:b/>
          <w:color w:val="000000"/>
          <w:sz w:val="24"/>
          <w:szCs w:val="24"/>
          <w:highlight w:val="white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Протокол испытаний должен содержать следующую информацию: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информация о типе полимера;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метод испытания;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условия проведения испытаний (температура, длительность);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наблюдения за особенностями, например, обесцвечивание или деформация;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количество образцов;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е) все отклонения от описанной процедуры;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ж) результат испытания: значение постоянной статической нагрузки, размер внутренней части образца, величина деформации за указанный интервал времени и для соответствующей нагрузки на единицу площади;</w:t>
      </w:r>
      <w:r>
        <w:rPr>
          <w:rFonts w:ascii="Arial" w:hAnsi="Arial" w:eastAsia="Arial" w:cs="Arial"/>
          <w:color w:val="000000"/>
          <w:sz w:val="24"/>
          <w:szCs w:val="24"/>
        </w:rPr>
      </w:r>
    </w:p>
    <w:p>
      <w:pPr>
        <w:widowControl w:val="tru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/>
        <w:ind/>
        <w:rPr>
          <w:rFonts w:ascii="Arial" w:hAnsi="Arial" w:eastAsia="Arial" w:cs="Arial"/>
          <w:b/>
          <w:color w:val="ff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з) дата проведения испытания. </w:t>
      </w:r>
      <w:r>
        <w:br w:type="page" w:clear="all"/>
      </w:r>
      <w:bookmarkStart w:id="37" w:name="_3ygebqi"/>
      <w:r/>
      <w:bookmarkStart w:id="38" w:name="_2dlolyb"/>
      <w:r/>
      <w:bookmarkEnd w:id="37"/>
      <w:r/>
      <w:bookmarkEnd w:id="38"/>
      <w:r/>
      <w:r>
        <w:rPr>
          <w:rFonts w:ascii="Arial" w:hAnsi="Arial" w:eastAsia="Arial" w:cs="Arial"/>
          <w:b/>
          <w:color w:val="ff0000"/>
          <w:sz w:val="24"/>
          <w:szCs w:val="24"/>
        </w:rPr>
      </w:r>
    </w:p>
    <w:tbl>
      <w:tblPr>
        <w:jc w:val="center"/>
        <w:tblW w:w="9356" w:type="dxa"/>
        <w:tblCellMar>
          <w:left w:w="57" w:type="dxa"/>
          <w:right w:w="57" w:type="dxa"/>
        </w:tblCellMar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>
        <w:trPr>
          <w:jc w:val="center"/>
        </w:trPr>
        <w:tc>
          <w:tcPr>
            <w:shd w:val="clear" w:color="auto" w:fill="auto"/>
            <w:tcBorders/>
            <w:tcW w:w="9356" w:type="dxa"/>
            <w:textDirection w:val="lrTb"/>
            <w:noWrap w:val="false"/>
          </w:tcPr>
          <w:p>
            <w:pPr>
              <w:pBdr/>
              <w:tabs>
                <w:tab w:val="right" w:leader="none" w:pos="9140"/>
              </w:tabs>
              <w:spacing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УДК 691.8:006.354                                                          МКС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91.100.50</w:t>
            </w:r>
            <w:r>
              <w:t xml:space="preserve">    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NEQ</w:t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pBdr/>
              <w:spacing/>
              <w:ind w:firstLine="0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1180"/>
                <w:rFonts w:ascii="Arial" w:hAnsi="Arial" w:cs="Arial"/>
                <w:sz w:val="24"/>
                <w:szCs w:val="24"/>
              </w:rPr>
              <w:t xml:space="preserve">Ключевые слова: гидроизоляционные полимерные материалы, рулонные полимерные материалы, методы испытаний</w:t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</w:tr>
    </w:tbl>
    <w:p>
      <w:pPr>
        <w:pStyle w:val="1146"/>
        <w:pBdr/>
        <w:spacing/>
        <w:ind/>
        <w:rPr>
          <w:rFonts w:ascii="Arial" w:hAnsi="Arial" w:cs="Arial"/>
          <w:i w:val="0"/>
          <w:vanish w:val="0"/>
          <w:sz w:val="28"/>
          <w:szCs w:val="28"/>
          <w:lang w:val="ru-RU"/>
        </w:rPr>
      </w:pP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</w:p>
    <w:p>
      <w:pPr>
        <w:pStyle w:val="1146"/>
        <w:pBdr/>
        <w:spacing/>
        <w:ind/>
        <w:rPr>
          <w:rFonts w:ascii="Arial" w:hAnsi="Arial" w:cs="Arial"/>
          <w:i w:val="0"/>
          <w:vanish w:val="0"/>
          <w:sz w:val="28"/>
          <w:szCs w:val="28"/>
          <w:lang w:val="ru-RU"/>
        </w:rPr>
      </w:pP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</w:p>
    <w:p>
      <w:pPr>
        <w:pStyle w:val="1146"/>
        <w:pBdr/>
        <w:spacing/>
        <w:ind/>
        <w:rPr>
          <w:rFonts w:ascii="Arial" w:hAnsi="Arial" w:cs="Arial"/>
          <w:i w:val="0"/>
          <w:vanish w:val="0"/>
          <w:sz w:val="28"/>
          <w:szCs w:val="28"/>
          <w:lang w:val="ru-RU"/>
        </w:rPr>
      </w:pP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</w:p>
    <w:p>
      <w:pPr>
        <w:pStyle w:val="1146"/>
        <w:pBdr/>
        <w:spacing/>
        <w:ind/>
        <w:rPr>
          <w:rFonts w:ascii="Arial" w:hAnsi="Arial" w:cs="Arial"/>
          <w:i w:val="0"/>
          <w:vanish w:val="0"/>
          <w:sz w:val="28"/>
          <w:szCs w:val="28"/>
          <w:lang w:val="ru-RU"/>
        </w:rPr>
      </w:pP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</w:p>
    <w:p>
      <w:pPr>
        <w:pBdr/>
        <w:spacing/>
        <w:ind w:firstLine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Руководитель разработки:</w:t>
      </w:r>
      <w:r>
        <w:rPr>
          <w:rFonts w:ascii="Arial" w:hAnsi="Arial" w:cs="Arial"/>
          <w:sz w:val="24"/>
          <w:szCs w:val="24"/>
          <w:lang w:eastAsia="en-US"/>
        </w:rPr>
      </w:r>
    </w:p>
    <w:p>
      <w:pPr>
        <w:pBdr/>
        <w:spacing/>
        <w:ind w:firstLine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Заместитель исполнительного директора </w:t>
      </w:r>
      <w:r>
        <w:rPr>
          <w:rFonts w:ascii="Arial" w:hAnsi="Arial" w:cs="Arial"/>
          <w:sz w:val="24"/>
          <w:szCs w:val="24"/>
          <w:lang w:eastAsia="en-US"/>
        </w:rPr>
      </w:r>
    </w:p>
    <w:p>
      <w:pPr>
        <w:pBdr/>
        <w:spacing/>
        <w:ind w:firstLine="426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Национального кровельного союза </w:t>
      </w:r>
      <w:r>
        <w:rPr>
          <w:rFonts w:ascii="Arial" w:hAnsi="Arial" w:cs="Arial"/>
          <w:sz w:val="24"/>
          <w:szCs w:val="24"/>
          <w:lang w:eastAsia="en-US"/>
        </w:rPr>
        <w:tab/>
      </w:r>
      <w:r>
        <w:rPr>
          <w:rFonts w:ascii="Arial" w:hAnsi="Arial" w:cs="Arial"/>
          <w:sz w:val="24"/>
          <w:szCs w:val="24"/>
          <w:lang w:eastAsia="en-US"/>
        </w:rPr>
        <w:tab/>
        <w:t xml:space="preserve">                   А.А. Молчанова</w:t>
      </w:r>
      <w:r>
        <w:rPr>
          <w:rFonts w:ascii="Arial" w:hAnsi="Arial" w:cs="Arial"/>
          <w:sz w:val="24"/>
          <w:szCs w:val="24"/>
          <w:lang w:eastAsia="en-US"/>
        </w:rPr>
      </w:r>
    </w:p>
    <w:p>
      <w:pPr>
        <w:pStyle w:val="1146"/>
        <w:pBdr/>
        <w:spacing/>
        <w:ind/>
        <w:rPr>
          <w:rFonts w:ascii="Arial" w:hAnsi="Arial" w:cs="Arial"/>
          <w:i w:val="0"/>
          <w:vanish w:val="0"/>
          <w:sz w:val="28"/>
          <w:szCs w:val="28"/>
          <w:lang w:val="ru-RU"/>
        </w:rPr>
      </w:pP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  <w:r>
        <w:rPr>
          <w:rFonts w:ascii="Arial" w:hAnsi="Arial" w:cs="Arial"/>
          <w:i w:val="0"/>
          <w:vanish w:val="0"/>
          <w:sz w:val="28"/>
          <w:szCs w:val="28"/>
          <w:lang w:val="ru-RU"/>
        </w:rPr>
      </w:r>
    </w:p>
    <w:sectPr>
      <w:headerReference w:type="default" r:id="rId11"/>
      <w:headerReference w:type="even" r:id="rId12"/>
      <w:headerReference w:type="first" r:id="rId13"/>
      <w:footerReference w:type="default" r:id="rId16"/>
      <w:footerReference w:type="even" r:id="rId17"/>
      <w:footerReference w:type="first" r:id="rId18"/>
      <w:footnotePr>
        <w:numRestart w:val="eachPage"/>
      </w:footnotePr>
      <w:endnotePr/>
      <w:type w:val="nextPage"/>
      <w:pgSz w:h="16838" w:orient="portrait" w:w="11906"/>
      <w:pgMar w:top="1134" w:right="794" w:bottom="1134" w:left="1588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Corbel">
    <w:panose1 w:val="020B0503020204020204"/>
  </w:font>
  <w:font w:name="Tahoma">
    <w:panose1 w:val="020B0604030504040204"/>
  </w:font>
  <w:font w:name="Arial">
    <w:panose1 w:val="020B0604020202020204"/>
  </w:font>
  <w:font w:name="Cambria">
    <w:panose1 w:val="020405030504060302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477270464"/>
      <w:docPartObj>
        <w:docPartGallery w:val="Page Numbers (Bottom of Page)"/>
        <w:docPartUnique w:val="true"/>
      </w:docPartObj>
      <w:rPr/>
    </w:sdtPr>
    <w:sdtContent>
      <w:p>
        <w:pPr>
          <w:pStyle w:val="1164"/>
          <w:pBdr/>
          <w:spacing w:before="360"/>
          <w:ind/>
          <w:jc w:val="right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PAGE   \* MERGEFORMAT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 xml:space="preserve">III</w:t>
        </w:r>
        <w:r>
          <w:rPr>
            <w:rFonts w:ascii="Arial" w:hAnsi="Arial" w:cs="Arial"/>
            <w:sz w:val="22"/>
            <w:szCs w:val="22"/>
          </w:rPr>
          <w:fldChar w:fldCharType="end"/>
        </w:r>
        <w:r>
          <w:rPr>
            <w:rFonts w:ascii="Arial" w:hAnsi="Arial" w:cs="Arial"/>
            <w:sz w:val="22"/>
            <w:szCs w:val="22"/>
          </w:rPr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4347551"/>
      <w:docPartObj>
        <w:docPartGallery w:val="Page Numbers (Bottom of Page)"/>
        <w:docPartUnique w:val="true"/>
      </w:docPartObj>
      <w:rPr>
        <w:rFonts w:ascii="Arial" w:hAnsi="Arial" w:cs="Arial"/>
        <w:sz w:val="22"/>
        <w:szCs w:val="22"/>
      </w:rPr>
    </w:sdtPr>
    <w:sdtContent>
      <w:p>
        <w:pPr>
          <w:pStyle w:val="1164"/>
          <w:pBdr/>
          <w:spacing w:before="360"/>
          <w:ind w:firstLine="0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PAGE   \* MERGEFORMAT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 xml:space="preserve">IV</w:t>
        </w:r>
        <w:r>
          <w:rPr>
            <w:rFonts w:ascii="Arial" w:hAnsi="Arial" w:cs="Arial"/>
            <w:sz w:val="22"/>
            <w:szCs w:val="22"/>
          </w:rPr>
          <w:fldChar w:fldCharType="end"/>
        </w:r>
        <w:r>
          <w:rPr>
            <w:rFonts w:ascii="Arial" w:hAnsi="Arial" w:cs="Arial"/>
            <w:sz w:val="22"/>
            <w:szCs w:val="22"/>
          </w:rPr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11444379"/>
      <w:docPartObj>
        <w:docPartGallery w:val="Page Numbers (Bottom of Page)"/>
        <w:docPartUnique w:val="true"/>
      </w:docPartObj>
      <w:rPr/>
    </w:sdtPr>
    <w:sdtContent>
      <w:p>
        <w:pPr>
          <w:pStyle w:val="1164"/>
          <w:pBdr/>
          <w:spacing w:before="360"/>
          <w:ind/>
          <w:jc w:val="right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PAGE   \* MERGEFORMAT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 xml:space="preserve">19</w:t>
        </w:r>
        <w:r>
          <w:rPr>
            <w:rFonts w:ascii="Arial" w:hAnsi="Arial" w:cs="Arial"/>
            <w:sz w:val="22"/>
            <w:szCs w:val="22"/>
          </w:rPr>
          <w:fldChar w:fldCharType="end"/>
        </w:r>
        <w:r>
          <w:rPr>
            <w:rFonts w:ascii="Arial" w:hAnsi="Arial" w:cs="Arial"/>
            <w:sz w:val="22"/>
            <w:szCs w:val="22"/>
          </w:rPr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03555997"/>
      <w:docPartObj>
        <w:docPartGallery w:val="Page Numbers (Bottom of Page)"/>
        <w:docPartUnique w:val="true"/>
      </w:docPartObj>
      <w:rPr/>
    </w:sdtPr>
    <w:sdtContent>
      <w:p>
        <w:pPr>
          <w:pStyle w:val="1164"/>
          <w:pBdr/>
          <w:spacing w:before="360"/>
          <w:ind w:firstLine="0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PAGE   \* MERGEFORMAT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>
          <w:rPr>
            <w:rFonts w:ascii="Arial" w:hAnsi="Arial" w:cs="Arial"/>
            <w:sz w:val="22"/>
            <w:szCs w:val="22"/>
          </w:rPr>
          <w:t xml:space="preserve">2</w:t>
        </w:r>
        <w:r>
          <w:rPr>
            <w:rFonts w:ascii="Arial" w:hAnsi="Arial" w:cs="Arial"/>
            <w:sz w:val="22"/>
            <w:szCs w:val="22"/>
          </w:rPr>
          <w:fldChar w:fldCharType="end"/>
        </w:r>
        <w:r>
          <w:rPr>
            <w:rFonts w:ascii="Arial" w:hAnsi="Arial" w:cs="Arial"/>
            <w:sz w:val="22"/>
            <w:szCs w:val="22"/>
          </w:rPr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64"/>
      <w:pBdr/>
      <w:spacing w:line="240" w:lineRule="auto"/>
      <w:ind w:firstLine="0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1</w:t>
    </w:r>
    <w:r>
      <w:rPr>
        <w:rFonts w:ascii="Arial" w:hAnsi="Arial" w:cs="Arial"/>
        <w:sz w:val="22"/>
        <w:szCs w:val="2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line="240" w:lineRule="auto"/>
      <w:ind w:right="1418" w:firstLine="0"/>
      <w:jc w:val="center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eastAsia="Arial" w:cs="Arial"/>
        <w:b/>
        <w:color w:val="000000"/>
        <w:sz w:val="24"/>
        <w:szCs w:val="24"/>
      </w:rPr>
      <w:t xml:space="preserve">                                                                                    ГОСТ </w:t>
    </w:r>
    <w:r>
      <w:rPr>
        <w:rFonts w:ascii="Arial" w:hAnsi="Arial" w:eastAsia="Arial" w:cs="Arial"/>
        <w:b/>
        <w:color w:val="000000"/>
        <w:sz w:val="24"/>
        <w:szCs w:val="24"/>
      </w:rPr>
    </w:r>
  </w:p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after="240" w:line="240" w:lineRule="auto"/>
      <w:ind w:firstLine="0"/>
      <w:jc w:val="righ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cs="Arial"/>
        <w:bCs/>
        <w:i/>
        <w:sz w:val="24"/>
        <w:szCs w:val="24"/>
      </w:rPr>
      <w:t xml:space="preserve">(проект, окончательная редакция)</w:t>
    </w:r>
    <w:r>
      <w:rPr>
        <w:rFonts w:ascii="Arial" w:hAnsi="Arial" w:eastAsia="Arial" w:cs="Arial"/>
        <w:b/>
        <w:color w:val="000000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line="240" w:lineRule="auto"/>
      <w:ind w:right="1843" w:firstLine="0"/>
      <w:jc w:val="lef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eastAsia="Arial" w:cs="Arial"/>
        <w:b/>
        <w:color w:val="000000"/>
        <w:sz w:val="24"/>
        <w:szCs w:val="24"/>
      </w:rPr>
      <w:t xml:space="preserve">ГОСТ  </w:t>
    </w:r>
    <w:r>
      <w:rPr>
        <w:rFonts w:ascii="Arial" w:hAnsi="Arial" w:eastAsia="Arial" w:cs="Arial"/>
        <w:b/>
        <w:color w:val="000000"/>
        <w:sz w:val="24"/>
        <w:szCs w:val="24"/>
      </w:rPr>
    </w:r>
  </w:p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after="240" w:line="240" w:lineRule="auto"/>
      <w:ind w:right="1843" w:firstLine="0"/>
      <w:jc w:val="lef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cs="Arial"/>
        <w:bCs/>
        <w:i/>
        <w:sz w:val="24"/>
        <w:szCs w:val="24"/>
      </w:rPr>
      <w:t xml:space="preserve">(проект, окончательная редакция)</w:t>
    </w:r>
    <w:r>
      <w:rPr>
        <w:rFonts w:ascii="Arial" w:hAnsi="Arial" w:eastAsia="Arial" w:cs="Arial"/>
        <w:b/>
        <w:color w:val="000000"/>
        <w:sz w:val="24"/>
        <w:szCs w:val="24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line="240" w:lineRule="auto"/>
      <w:ind w:right="1418" w:firstLine="0"/>
      <w:jc w:val="righ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eastAsia="Arial" w:cs="Arial"/>
        <w:b/>
        <w:color w:val="000000"/>
        <w:sz w:val="24"/>
        <w:szCs w:val="24"/>
      </w:rPr>
      <w:t xml:space="preserve">ГОСТ </w:t>
    </w:r>
    <w:r>
      <w:rPr>
        <w:rFonts w:ascii="Arial" w:hAnsi="Arial" w:eastAsia="Arial" w:cs="Arial"/>
        <w:b/>
        <w:color w:val="000000"/>
        <w:sz w:val="24"/>
        <w:szCs w:val="24"/>
      </w:rPr>
    </w:r>
  </w:p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after="240" w:line="240" w:lineRule="auto"/>
      <w:ind w:right="-2" w:firstLine="0"/>
      <w:jc w:val="righ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cs="Arial"/>
        <w:bCs/>
        <w:i/>
        <w:sz w:val="24"/>
        <w:szCs w:val="24"/>
      </w:rPr>
      <w:t xml:space="preserve">(проект, окончательная редакция)</w:t>
    </w:r>
    <w:r>
      <w:rPr>
        <w:rFonts w:ascii="Arial" w:hAnsi="Arial" w:eastAsia="Arial" w:cs="Arial"/>
        <w:b/>
        <w:color w:val="000000"/>
        <w:sz w:val="24"/>
        <w:szCs w:val="24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line="240" w:lineRule="auto"/>
      <w:ind w:right="1843" w:firstLine="0"/>
      <w:jc w:val="lef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eastAsia="Arial" w:cs="Arial"/>
        <w:b/>
        <w:color w:val="000000"/>
        <w:sz w:val="24"/>
        <w:szCs w:val="24"/>
      </w:rPr>
      <w:t xml:space="preserve">ГОСТ</w:t>
    </w:r>
    <w:r>
      <w:rPr>
        <w:rFonts w:ascii="Arial" w:hAnsi="Arial" w:eastAsia="Arial" w:cs="Arial"/>
        <w:b/>
        <w:color w:val="000000"/>
        <w:sz w:val="24"/>
        <w:szCs w:val="24"/>
      </w:rPr>
    </w:r>
  </w:p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after="240" w:line="240" w:lineRule="auto"/>
      <w:ind w:right="1843" w:firstLine="0"/>
      <w:jc w:val="lef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cs="Arial"/>
        <w:bCs/>
        <w:i/>
        <w:sz w:val="24"/>
        <w:szCs w:val="24"/>
      </w:rPr>
      <w:t xml:space="preserve">(проект, окончательная редакция)</w:t>
    </w:r>
    <w:r>
      <w:rPr>
        <w:rFonts w:ascii="Arial" w:hAnsi="Arial" w:eastAsia="Arial" w:cs="Arial"/>
        <w:b/>
        <w:color w:val="000000"/>
        <w:sz w:val="24"/>
        <w:szCs w:val="24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line="240" w:lineRule="auto"/>
      <w:ind w:right="1701" w:firstLine="0"/>
      <w:jc w:val="center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eastAsia="Arial" w:cs="Arial"/>
        <w:b/>
        <w:color w:val="000000"/>
        <w:szCs w:val="28"/>
      </w:rPr>
      <w:t xml:space="preserve">                                                                            </w:t>
    </w:r>
    <w:r>
      <w:rPr>
        <w:rFonts w:ascii="Arial" w:hAnsi="Arial" w:eastAsia="Arial" w:cs="Arial"/>
        <w:b/>
        <w:color w:val="000000"/>
        <w:sz w:val="24"/>
        <w:szCs w:val="24"/>
      </w:rPr>
      <w:t xml:space="preserve">ГОСТ</w:t>
    </w:r>
    <w:r>
      <w:rPr>
        <w:rFonts w:ascii="Arial" w:hAnsi="Arial" w:eastAsia="Arial" w:cs="Arial"/>
        <w:b/>
        <w:color w:val="000000"/>
        <w:sz w:val="24"/>
        <w:szCs w:val="24"/>
      </w:rPr>
    </w:r>
  </w:p>
  <w:p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4677"/>
        <w:tab w:val="right" w:leader="none" w:pos="9355"/>
      </w:tabs>
      <w:spacing w:after="240" w:line="240" w:lineRule="auto"/>
      <w:ind w:right="-2" w:firstLine="0"/>
      <w:jc w:val="right"/>
      <w:rPr>
        <w:rFonts w:ascii="Arial" w:hAnsi="Arial" w:eastAsia="Arial" w:cs="Arial"/>
        <w:b/>
        <w:color w:val="000000"/>
        <w:sz w:val="24"/>
        <w:szCs w:val="24"/>
      </w:rPr>
    </w:pPr>
    <w:r>
      <w:rPr>
        <w:rFonts w:ascii="Arial" w:hAnsi="Arial" w:cs="Arial"/>
        <w:bCs/>
        <w:i/>
        <w:sz w:val="24"/>
        <w:szCs w:val="24"/>
      </w:rPr>
      <w:t xml:space="preserve">(проект, окончательная редакция)</w:t>
    </w:r>
    <w:r>
      <w:rPr>
        <w:rFonts w:ascii="Arial" w:hAnsi="Arial" w:eastAsia="Arial" w:cs="Arial"/>
        <w:b/>
        <w:color w:val="000000"/>
        <w:sz w:val="24"/>
        <w:szCs w:val="24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268F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7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8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1">
    <w:nsid w:val="09FF39A4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−"/>
      <w:numFmt w:val="bullet"/>
      <w:pPr>
        <w:pBdr/>
        <w:spacing/>
        <w:ind w:hanging="720" w:left="2847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2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0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2">
    <w:nsid w:val="0C525B13"/>
    <w:lvl w:ilvl="0">
      <w:isLgl w:val="false"/>
      <w:lvlJc w:val="left"/>
      <w:lvlText w:val="%1"/>
      <w:numFmt w:val="decimal"/>
      <w:pPr>
        <w:pBdr/>
        <w:spacing/>
        <w:ind w:hanging="525" w:left="525"/>
      </w:pPr>
      <w:rPr>
        <w:rFonts w:hint="default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720" w:left="1074"/>
      </w:pPr>
      <w:rPr>
        <w:rFonts w:hint="default"/>
      </w:rPr>
      <w:start w:val="5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1428"/>
      </w:pPr>
      <w:rPr>
        <w:rFonts w:hint="default"/>
      </w:rPr>
      <w:start w:val="4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2142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440" w:left="285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321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800" w:left="392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4278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4992"/>
      </w:pPr>
      <w:rPr>
        <w:rFonts w:hint="default"/>
      </w:rPr>
      <w:start w:val="1"/>
      <w:suff w:val="tab"/>
    </w:lvl>
  </w:abstractNum>
  <w:abstractNum w:abstractNumId="3">
    <w:nsid w:val="172F23AB"/>
    <w:lvl w:ilvl="0">
      <w:isLgl w:val="false"/>
      <w:lvlJc w:val="left"/>
      <w:lvlText w:val=""/>
      <w:numFmt w:val="bullet"/>
      <w:pPr>
        <w:pBdr/>
        <w:spacing/>
        <w:ind w:hanging="360" w:left="617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4">
    <w:nsid w:val="180B0C36"/>
    <w:lvl w:ilvl="0">
      <w:isLgl w:val="false"/>
      <w:lvlJc w:val="left"/>
      <w:lvlText w:val="%1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8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1800"/>
        </w:tabs>
        <w:spacing/>
        <w:ind w:hanging="1800" w:left="1800"/>
      </w:pPr>
      <w:rPr/>
      <w:start w:val="1"/>
      <w:suff w:val="tab"/>
    </w:lvl>
  </w:abstractNum>
  <w:abstractNum w:abstractNumId="5">
    <w:nsid w:val="191E42BF"/>
    <w:lvl w:ilvl="0">
      <w:isLgl w:val="false"/>
      <w:lvlJc w:val="left"/>
      <w:lvlText w:val="−"/>
      <w:numFmt w:val="bullet"/>
      <w:pPr>
        <w:pBdr/>
        <w:spacing/>
        <w:ind w:hanging="360" w:left="1429"/>
      </w:pPr>
      <w:rPr>
        <w:rFonts w:hint="default" w:ascii="Arial" w:hAnsi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6">
    <w:nsid w:val="1C867E6E"/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 w:val="骢ç/ &lt;ⵐ骔ç⵰骔ç亙랈翻"/>
      <w:numFmt w:val="none"/>
      <w:pPr>
        <w:pBdr/>
        <w:tabs>
          <w:tab w:val="num" w:leader="none" w:pos="0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骢ç/ &lt;ⵐ骔ç⵰骔ç亙랈翻"/>
      <w:numFmt w:val="none"/>
      <w:pPr>
        <w:pBdr/>
        <w:tabs>
          <w:tab w:val="num" w:leader="none" w:pos="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骢ç &lt;ⵐ骔ç⵰骔ç亙랈翻"/>
      <w:numFmt w:val="none"/>
      <w:pPr>
        <w:pBdr/>
        <w:tabs>
          <w:tab w:val="num" w:leader="none" w:pos="0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骢ç' &lt;ⵐ骔ç⵰骔ç亙랈翻"/>
      <w:numFmt w:val="none"/>
      <w:pPr>
        <w:pBdr/>
        <w:tabs>
          <w:tab w:val="num" w:leader="none" w:pos="0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骢ç&lt; &lt;ⵐ骔ç⵰骔ç亙랈翻"/>
      <w:numFmt w:val="none"/>
      <w:pPr>
        <w:pBdr/>
        <w:tabs>
          <w:tab w:val="num" w:leader="none" w:pos="0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骢ç&lt; &lt;ⵐ骔ç⵰骔ç亙랈翻"/>
      <w:numFmt w:val="none"/>
      <w:pPr>
        <w:pBdr/>
        <w:tabs>
          <w:tab w:val="num" w:leader="none" w:pos="0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骢ç&quot; &lt;ⵐ骔ç⵰骔ç亙랈翻"/>
      <w:numFmt w:val="none"/>
      <w:pPr>
        <w:pBdr/>
        <w:tabs>
          <w:tab w:val="num" w:leader="none" w:pos="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骢ç0 &lt;ⵐ骔ç⵰骔ç亙랈翻"/>
      <w:numFmt w:val="none"/>
      <w:pPr>
        <w:pBdr/>
        <w:tabs>
          <w:tab w:val="num" w:leader="none" w:pos="0"/>
        </w:tabs>
        <w:spacing/>
        <w:ind w:hanging="1584" w:left="1584"/>
      </w:pPr>
      <w:rPr/>
      <w:start w:val="1"/>
      <w:suff w:val="nothing"/>
    </w:lvl>
  </w:abstractNum>
  <w:abstractNum w:abstractNumId="7">
    <w:nsid w:val="24866F8F"/>
    <w:lvl w:ilvl="0">
      <w:isLgl w:val="false"/>
      <w:lvlJc w:val="left"/>
      <w:lvlText w:val="%1"/>
      <w:numFmt w:val="decimal"/>
      <w:pPr>
        <w:pBdr/>
        <w:spacing/>
        <w:ind w:hanging="360" w:left="1069"/>
      </w:pPr>
      <w:rPr>
        <w:rFonts w:hint="default"/>
      </w:rPr>
      <w:start w:val="6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nsid w:val="25376263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i/>
        <w:i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274B267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0">
    <w:nsid w:val="27B5095E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  <w:b/>
        <w:sz w:val="22"/>
      </w:rPr>
      <w:start w:val="1"/>
      <w:suff w:val="tab"/>
    </w:lvl>
    <w:lvl w:ilvl="1">
      <w:isLgl w:val="false"/>
      <w:lvlJc w:val="left"/>
      <w:lvlText w:val="3.%2"/>
      <w:numFmt w:val="decimal"/>
      <w:pPr>
        <w:pBdr/>
        <w:spacing/>
        <w:ind w:hanging="1200" w:left="1909"/>
      </w:pPr>
      <w:rPr>
        <w:rFonts w:hint="default"/>
      </w:rPr>
      <w:start w:val="1"/>
      <w:suff w:val="tab"/>
    </w:lvl>
    <w:lvl w:ilvl="2">
      <w:isLgl w:val="false"/>
      <w:lvlJc w:val="left"/>
      <w:lvlText w:val="3.4.%3"/>
      <w:numFmt w:val="decimal"/>
      <w:pPr>
        <w:pBdr/>
        <w:spacing/>
        <w:ind w:hanging="1200" w:left="2258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200" w:left="260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200" w:left="2956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5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89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6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4952"/>
      </w:pPr>
      <w:rPr>
        <w:rFonts w:hint="default"/>
      </w:rPr>
      <w:start w:val="1"/>
      <w:suff w:val="tab"/>
    </w:lvl>
  </w:abstractNum>
  <w:abstractNum w:abstractNumId="11">
    <w:nsid w:val="284C34B4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−"/>
      <w:numFmt w:val="bullet"/>
      <w:pPr>
        <w:pBdr/>
        <w:spacing/>
        <w:ind w:hanging="720" w:left="2847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2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0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12">
    <w:nsid w:val="29DB7176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  <w:b/>
        <w:sz w:val="22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2847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2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0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13">
    <w:nsid w:val="2E9677B4"/>
    <w:lvl w:ilvl="0">
      <w:isLgl w:val="false"/>
      <w:lvlJc w:val="left"/>
      <w:lvlText w:val="%1"/>
      <w:numFmt w:val="decimal"/>
      <w:pPr>
        <w:pBdr/>
        <w:spacing/>
        <w:ind w:hanging="360" w:left="1070"/>
      </w:pPr>
      <w:rPr>
        <w:rFonts w:hint="default"/>
      </w:rPr>
      <w:start w:val="1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4">
    <w:nsid w:val="2EB4627F"/>
    <w:lvl w:ilvl="0">
      <w:isLgl w:val="false"/>
      <w:lvlJc w:val="left"/>
      <w:lvlText w:val="%1"/>
      <w:numFmt w:val="decimal"/>
      <w:pPr>
        <w:pBdr/>
        <w:spacing/>
        <w:ind w:hanging="360" w:left="1070"/>
      </w:pPr>
      <w:rPr>
        <w:rFonts w:hint="default"/>
      </w:rPr>
      <w:start w:val="1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5">
    <w:nsid w:val="3093444F"/>
    <w:lvl w:ilvl="0">
      <w:isLgl w:val="false"/>
      <w:lvlJc w:val="left"/>
      <w:lvlText w:val="%1"/>
      <w:numFmt w:val="decimal"/>
      <w:pPr>
        <w:pBdr/>
        <w:spacing/>
        <w:ind w:hanging="360" w:left="1070"/>
      </w:pPr>
      <w:rPr>
        <w:rFonts w:hint="default"/>
      </w:rPr>
      <w:start w:val="10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9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1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3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5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7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9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1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30"/>
      </w:pPr>
      <w:rPr/>
      <w:start w:val="1"/>
      <w:suff w:val="tab"/>
    </w:lvl>
  </w:abstractNum>
  <w:abstractNum w:abstractNumId="16">
    <w:nsid w:val="32C44447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7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9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38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07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498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76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17">
    <w:nsid w:val="34277D2D"/>
    <w:lvl w:ilvl="0">
      <w:isLgl w:val="false"/>
      <w:lvlJc w:val="left"/>
      <w:lvlText w:val="%1"/>
      <w:numFmt w:val="decimal"/>
      <w:pPr>
        <w:pBdr/>
        <w:spacing/>
        <w:ind w:hanging="360" w:left="1590"/>
      </w:pPr>
      <w:rPr>
        <w:rFonts w:hint="default"/>
      </w:rPr>
      <w:start w:val="9"/>
      <w:suff w:val="tab"/>
    </w:lvl>
    <w:lvl w:ilvl="1">
      <w:isLgl w:val="true"/>
      <w:lvlJc w:val="left"/>
      <w:lvlText w:val="%1.%2"/>
      <w:numFmt w:val="decimal"/>
      <w:pPr>
        <w:pBdr/>
        <w:spacing/>
        <w:ind w:hanging="360" w:left="1590"/>
      </w:pPr>
      <w:rPr>
        <w:rFonts w:hint="default"/>
      </w:rPr>
      <w:start w:val="2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95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231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31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267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67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303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3030"/>
      </w:pPr>
      <w:rPr>
        <w:rFonts w:hint="default"/>
      </w:rPr>
      <w:start w:val="1"/>
      <w:suff w:val="tab"/>
    </w:lvl>
  </w:abstractNum>
  <w:abstractNum w:abstractNumId="18">
    <w:nsid w:val="3B0A2FA6"/>
    <w:lvl w:ilvl="0">
      <w:isLgl w:val="false"/>
      <w:lvlJc w:val="left"/>
      <w:lvlText w:val="%1."/>
      <w:numFmt w:val="decimal"/>
      <w:pPr>
        <w:pBdr/>
        <w:spacing/>
        <w:ind w:hanging="450" w:left="450"/>
      </w:pPr>
      <w:rPr>
        <w:rFonts w:hint="default"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855"/>
      </w:pPr>
      <w:rPr>
        <w:rFonts w:hint="default"/>
      </w:rPr>
      <w:start w:val="3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299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4485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562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711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861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9745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11240"/>
      </w:pPr>
      <w:rPr>
        <w:rFonts w:hint="default"/>
      </w:rPr>
      <w:start w:val="1"/>
      <w:suff w:val="tab"/>
    </w:lvl>
  </w:abstractNum>
  <w:abstractNum w:abstractNumId="19">
    <w:nsid w:val="3CF54109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 w:ascii="Arial" w:hAnsi="Arial" w:cs="Arial"/>
        <w:sz w:val="22"/>
        <w:szCs w:val="22"/>
      </w:rPr>
      <w:start w:val="3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38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2847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25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03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/>
      <w:start w:val="1"/>
      <w:suff w:val="tab"/>
    </w:lvl>
  </w:abstractNum>
  <w:abstractNum w:abstractNumId="20">
    <w:nsid w:val="3F084B6D"/>
    <w:lvl w:ilvl="0">
      <w:isLgl w:val="false"/>
      <w:lvlJc w:val="left"/>
      <w:lvlText w:val="%1"/>
      <w:numFmt w:val="decimal"/>
      <w:pPr>
        <w:pBdr/>
        <w:spacing/>
        <w:ind w:hanging="375" w:left="375"/>
      </w:pPr>
      <w:rPr/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095"/>
      </w:pPr>
      <w:rPr/>
      <w:start w:val="6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40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60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504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760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8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7920"/>
      </w:pPr>
      <w:rPr/>
      <w:start w:val="1"/>
      <w:suff w:val="tab"/>
    </w:lvl>
  </w:abstractNum>
  <w:abstractNum w:abstractNumId="21">
    <w:nsid w:val="45CF5F38"/>
    <w:lvl w:ilvl="0">
      <w:isLgl w:val="false"/>
      <w:lvlJc w:val="left"/>
      <w:lvlText w:val="%1"/>
      <w:numFmt w:val="decimal"/>
      <w:pPr>
        <w:pBdr/>
        <w:tabs>
          <w:tab w:val="num" w:leader="none" w:pos="425"/>
        </w:tabs>
        <w:spacing/>
        <w:ind w:hanging="425" w:left="425"/>
      </w:pPr>
      <w:rPr>
        <w:rFonts w:ascii="Arial" w:hAnsi="Arial" w:eastAsia="Calibri" w:cs="Arial"/>
        <w:b w:val="0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firstLine="426" w:left="1700"/>
      </w:pPr>
      <w:rPr>
        <w:rFonts w:hint="default"/>
      </w:rPr>
      <w:start w:val="1"/>
      <w:suff w:val="space"/>
    </w:lvl>
    <w:lvl w:ilvl="2">
      <w:isLgl w:val="true"/>
      <w:lvlJc w:val="left"/>
      <w:lvlText w:val="%1.%2.%3"/>
      <w:numFmt w:val="decimal"/>
      <w:pPr>
        <w:pBdr/>
        <w:spacing/>
        <w:ind w:firstLine="0" w:left="1700"/>
      </w:pPr>
      <w:rPr>
        <w:rFonts w:hint="default"/>
        <w:sz w:val="28"/>
        <w:szCs w:val="28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hanging="1080" w:left="3338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3404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383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896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4322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4388"/>
      </w:pPr>
      <w:rPr>
        <w:rFonts w:hint="default"/>
      </w:rPr>
      <w:start w:val="1"/>
      <w:suff w:val="tab"/>
    </w:lvl>
  </w:abstractNum>
  <w:abstractNum w:abstractNumId="22">
    <w:nsid w:val="4CFD523A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8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230"/>
      </w:pPr>
      <w:rPr>
        <w:rFonts w:hint="default"/>
      </w:rPr>
      <w:start w:val="2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46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69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456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579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666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789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8760"/>
      </w:pPr>
      <w:rPr>
        <w:rFonts w:hint="default"/>
      </w:rPr>
      <w:start w:val="1"/>
      <w:suff w:val="tab"/>
    </w:lvl>
  </w:abstractNum>
  <w:abstractNum w:abstractNumId="23">
    <w:nsid w:val="56CB0296"/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4">
    <w:nsid w:val="5FDB1BE5"/>
    <w:lvl w:ilvl="0">
      <w:isLgl w:val="false"/>
      <w:lvlJc w:val="left"/>
      <w:lvlText w:val="%1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/>
        <w:color w:val="auto"/>
        <w:sz w:val="32"/>
        <w:szCs w:val="32"/>
      </w:rPr>
      <w:start w:val="1"/>
      <w:suff w:val="space"/>
    </w:lvl>
    <w:lvl w:ilvl="1">
      <w:isLgl w:val="true"/>
      <w:lvlJc w:val="left"/>
      <w:lvlText w:val="%1.%2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 w:val="0"/>
        <w:i w:val="0"/>
        <w:color w:val="auto"/>
        <w:sz w:val="28"/>
        <w:szCs w:val="28"/>
      </w:rPr>
      <w:start w:val="1"/>
      <w:suff w:val="space"/>
    </w:lvl>
    <w:lvl w:ilvl="2">
      <w:isLgl w:val="true"/>
      <w:lvlJc w:val="left"/>
      <w:lvlText w:val="%1.%2.%3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 w:val="0"/>
        <w:i w:val="0"/>
        <w:color w:val="auto"/>
        <w:sz w:val="28"/>
        <w:szCs w:val="28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</w:abstractNum>
  <w:abstractNum w:abstractNumId="25">
    <w:nsid w:val="6134402A"/>
    <w:lvl w:ilvl="0">
      <w:isLgl w:val="false"/>
      <w:lvlJc w:val="left"/>
      <w:lvlText w:val="%1"/>
      <w:numFmt w:val="decimal"/>
      <w:pPr>
        <w:pBdr/>
        <w:spacing/>
        <w:ind w:hanging="360" w:left="1069"/>
      </w:pPr>
      <w:rPr>
        <w:rFonts w:hint="default"/>
      </w:rPr>
      <w:start w:val="1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6">
    <w:nsid w:val="63BE38FA"/>
    <w:lvl w:ilvl="0">
      <w:isLgl w:val="false"/>
      <w:lvlJc w:val="left"/>
      <w:lvlText w:val="%1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/>
        <w:color w:val="auto"/>
        <w:sz w:val="32"/>
        <w:szCs w:val="32"/>
      </w:rPr>
      <w:start w:val="1"/>
      <w:suff w:val="space"/>
    </w:lvl>
    <w:lvl w:ilvl="1">
      <w:isLgl w:val="true"/>
      <w:lvlJc w:val="left"/>
      <w:lvlText w:val="%1.%2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 w:val="0"/>
        <w:i w:val="0"/>
        <w:color w:val="auto"/>
        <w:sz w:val="28"/>
        <w:szCs w:val="28"/>
      </w:rPr>
      <w:start w:val="1"/>
      <w:suff w:val="space"/>
    </w:lvl>
    <w:lvl w:ilvl="2">
      <w:isLgl w:val="true"/>
      <w:lvlJc w:val="left"/>
      <w:lvlText w:val="%1.%2.%3"/>
      <w:numFmt w:val="decimal"/>
      <w:pPr>
        <w:pBdr/>
        <w:spacing/>
        <w:ind w:firstLine="567" w:left="0"/>
      </w:pPr>
      <w:rPr>
        <w:rFonts w:hint="default" w:ascii="Times New Roman" w:hAnsi="Times New Roman" w:cs="Times New Roman"/>
        <w:b w:val="0"/>
        <w:i w:val="0"/>
        <w:color w:val="auto"/>
        <w:sz w:val="28"/>
        <w:szCs w:val="28"/>
      </w:rPr>
      <w:start w:val="1"/>
      <w:suff w:val="space"/>
    </w:lvl>
    <w:lvl w:ilvl="3">
      <w:isLgl w:val="true"/>
      <w:lvlJc w:val="left"/>
      <w:lvlText w:val="%1.%2.%3.%4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firstLine="567" w:left="0"/>
      </w:pPr>
      <w:rPr>
        <w:rFonts w:hint="default" w:cs="Times New Roman"/>
      </w:rPr>
      <w:start w:val="1"/>
      <w:suff w:val="tab"/>
    </w:lvl>
  </w:abstractNum>
  <w:abstractNum w:abstractNumId="27">
    <w:nsid w:val="688635BF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4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>
        <w:rFonts w:hint="default"/>
      </w:rPr>
      <w:start w:val="1"/>
      <w:suff w:val="tab"/>
    </w:lvl>
    <w:lvl w:ilvl="3">
      <w:isLgl w:val="false"/>
      <w:lvlJc w:val="left"/>
      <w:lvlText w:val="−"/>
      <w:numFmt w:val="bullet"/>
      <w:pPr>
        <w:pBdr/>
        <w:spacing/>
        <w:ind w:hanging="720" w:left="2847"/>
      </w:pPr>
      <w:rPr>
        <w:rFonts w:hint="default" w:ascii="Arial" w:hAnsi="Arial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16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25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694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03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7472"/>
      </w:pPr>
      <w:rPr>
        <w:rFonts w:hint="default"/>
      </w:rPr>
      <w:start w:val="1"/>
      <w:suff w:val="tab"/>
    </w:lvl>
  </w:abstractNum>
  <w:abstractNum w:abstractNumId="28">
    <w:nsid w:val="6CDE496B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sz w:val="22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095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40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60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504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760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8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7920"/>
      </w:pPr>
      <w:rPr/>
      <w:start w:val="1"/>
      <w:suff w:val="tab"/>
    </w:lvl>
  </w:abstractNum>
  <w:abstractNum w:abstractNumId="29">
    <w:nsid w:val="6D390548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vertAlign w:val="superscrip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0">
    <w:nsid w:val="70820BB3"/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5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1">
    <w:nsid w:val="70D60597"/>
    <w:lvl w:ilvl="0">
      <w:isLgl w:val="false"/>
      <w:lvlJc w:val="left"/>
      <w:lvlText w:val="%1"/>
      <w:numFmt w:val="decimal"/>
      <w:pPr>
        <w:pBdr/>
        <w:spacing/>
        <w:ind w:hanging="375" w:left="375"/>
      </w:pPr>
      <w:rPr/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095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3240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60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504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5760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68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7920"/>
      </w:pPr>
      <w:rPr/>
      <w:start w:val="1"/>
      <w:suff w:val="tab"/>
    </w:lvl>
  </w:abstractNum>
  <w:abstractNum w:abstractNumId="32">
    <w:nsid w:val="72865B32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37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</w:abstractNum>
  <w:abstractNum w:abstractNumId="33">
    <w:nsid w:val="75E65069"/>
    <w:lvl w:ilvl="0">
      <w:isLgl w:val="false"/>
      <w:lvlJc w:val="left"/>
      <w:lvlText w:val="%1"/>
      <w:numFmt w:val="decimal"/>
      <w:pPr>
        <w:pBdr/>
        <w:spacing/>
        <w:ind w:hanging="360" w:left="1230"/>
      </w:pPr>
      <w:rPr>
        <w:rFonts w:hint="default"/>
      </w:rPr>
      <w:start w:val="6"/>
      <w:suff w:val="tab"/>
    </w:lvl>
    <w:lvl w:ilvl="1">
      <w:isLgl w:val="true"/>
      <w:lvlJc w:val="left"/>
      <w:lvlText w:val="%1.%2"/>
      <w:numFmt w:val="decimal"/>
      <w:pPr>
        <w:pBdr/>
        <w:spacing/>
        <w:ind w:hanging="360" w:left="1230"/>
      </w:pPr>
      <w:rPr>
        <w:rFonts w:hint="default"/>
      </w:rPr>
      <w:start w:val="9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59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720" w:left="159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95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080" w:left="195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31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67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2670"/>
      </w:pPr>
      <w:rPr>
        <w:rFonts w:hint="default"/>
      </w:rPr>
      <w:start w:val="1"/>
      <w:suff w:val="tab"/>
    </w:lvl>
  </w:abstractNum>
  <w:abstractNum w:abstractNumId="34">
    <w:nsid w:val="79E231C3"/>
    <w:lvl w:ilvl="0">
      <w:isLgl w:val="false"/>
      <w:lvlJc w:val="left"/>
      <w:lvlText w:val="%1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8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1080"/>
        </w:tabs>
        <w:spacing/>
        <w:ind w:hanging="1080" w:left="1080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1800"/>
        </w:tabs>
        <w:spacing/>
        <w:ind w:hanging="1800" w:left="1800"/>
      </w:pPr>
      <w:rPr/>
      <w:start w:val="1"/>
      <w:suff w:val="tab"/>
    </w:lvl>
  </w:abstractNum>
  <w:abstractNum w:abstractNumId="35">
    <w:nsid w:val="7C5D5FD0"/>
    <w:lvl w:ilvl="0">
      <w:isLgl w:val="false"/>
      <w:lvlJc w:val="left"/>
      <w:lvlText w:val="%1"/>
      <w:numFmt w:val="decimal"/>
      <w:pPr>
        <w:pBdr/>
        <w:spacing/>
        <w:ind w:firstLine="708" w:left="-282"/>
      </w:pPr>
      <w:pStyle w:val="949"/>
      <w:rPr>
        <w:rFonts w:hint="default" w:ascii="Times New Roman" w:hAnsi="Times New Roman" w:cs="Times New Roman"/>
        <w:b/>
        <w:sz w:val="32"/>
        <w:szCs w:val="28"/>
      </w:rPr>
      <w:start w:val="1"/>
      <w:suff w:val="space"/>
    </w:lvl>
    <w:lvl w:ilvl="1">
      <w:isLgl w:val="false"/>
      <w:lvlJc w:val="left"/>
      <w:lvlText w:val="%1.%2"/>
      <w:numFmt w:val="decimal"/>
      <w:pPr>
        <w:pBdr/>
        <w:spacing/>
        <w:ind w:hanging="709" w:left="3687"/>
      </w:pPr>
      <w:pStyle w:val="950"/>
      <w:rPr>
        <w:rFonts w:hint="default"/>
        <w:b/>
        <w:i w:val="0"/>
        <w:color w:val="auto"/>
        <w:sz w:val="28"/>
        <w:lang w:val="ru-RU"/>
      </w:rPr>
      <w:start w:val="1"/>
      <w:suff w:val="space"/>
    </w:lvl>
    <w:lvl w:ilvl="2">
      <w:isLgl w:val="false"/>
      <w:lvlJc w:val="left"/>
      <w:lvlText w:val="%1.%2.%3"/>
      <w:numFmt w:val="decimal"/>
      <w:pPr>
        <w:pBdr/>
        <w:spacing/>
        <w:ind w:firstLine="708" w:left="0"/>
      </w:pPr>
      <w:pStyle w:val="951"/>
      <w:rPr>
        <w:rFonts w:hint="default" w:ascii="Times New Roman" w:hAnsi="Times New Roman"/>
        <w:b w:val="0"/>
        <w:i w:val="0"/>
        <w:color w:val="auto"/>
        <w:sz w:val="28"/>
      </w:rPr>
      <w:start w:val="1"/>
      <w:suff w:val="space"/>
    </w:lvl>
    <w:lvl w:ilvl="3">
      <w:isLgl w:val="false"/>
      <w:lvlJc w:val="left"/>
      <w:lvlText w:val="%1.%2.%3.%4"/>
      <w:numFmt w:val="decimal"/>
      <w:pPr>
        <w:pBdr/>
        <w:spacing/>
        <w:ind w:firstLine="708" w:left="0"/>
      </w:pPr>
      <w:pStyle w:val="952"/>
      <w:rPr>
        <w:rFonts w:hint="default"/>
      </w:rPr>
      <w:start w:val="1"/>
      <w:suff w:val="space"/>
    </w:lvl>
    <w:lvl w:ilvl="4">
      <w:isLgl w:val="false"/>
      <w:lvlJc w:val="left"/>
      <w:lvlText w:val="%1.%2.%3.%4.%5"/>
      <w:numFmt w:val="decimal"/>
      <w:pPr>
        <w:pBdr/>
        <w:spacing/>
        <w:ind w:hanging="1008" w:left="1716"/>
      </w:pPr>
      <w:pStyle w:val="953"/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52" w:left="1860"/>
      </w:pPr>
      <w:pStyle w:val="954"/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96" w:left="2004"/>
      </w:pPr>
      <w:pStyle w:val="955"/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2148"/>
      </w:pPr>
      <w:pStyle w:val="956"/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584" w:left="2292"/>
      </w:pPr>
      <w:pStyle w:val="957"/>
      <w:rPr>
        <w:rFonts w:hint="default"/>
      </w:rPr>
      <w:start w:val="1"/>
      <w:suff w:val="tab"/>
    </w:lvl>
  </w:abstractNum>
  <w:abstractNum w:abstractNumId="36">
    <w:nsid w:val="7DD232E7"/>
    <w:lvl w:ilvl="0">
      <w:isLgl w:val="false"/>
      <w:lvlJc w:val="left"/>
      <w:lvlText w:val="%1"/>
      <w:numFmt w:val="decimal"/>
      <w:pPr>
        <w:pBdr/>
        <w:spacing/>
        <w:ind w:hanging="360" w:left="870"/>
      </w:pPr>
      <w:rPr>
        <w:rFonts w:hint="default"/>
      </w:rPr>
      <w:start w:val="5"/>
      <w:suff w:val="tab"/>
    </w:lvl>
    <w:lvl w:ilvl="1">
      <w:isLgl w:val="true"/>
      <w:lvlJc w:val="left"/>
      <w:lvlText w:val="%1.%2"/>
      <w:numFmt w:val="decimal"/>
      <w:pPr>
        <w:pBdr/>
        <w:spacing/>
        <w:ind w:hanging="405" w:left="1114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628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2187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386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2945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3144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3703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1800" w:left="3902"/>
      </w:pPr>
      <w:rPr>
        <w:rFonts w:hint="default"/>
      </w:rPr>
      <w:start w:val="1"/>
      <w:suff w:val="tab"/>
    </w:lvl>
  </w:abstractNum>
  <w:abstractNum w:abstractNumId="37">
    <w:nsid w:val="7E2351C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num w:numId="1">
    <w:abstractNumId w:val="35"/>
  </w:num>
  <w:num w:numId="2">
    <w:abstractNumId w:val="26"/>
    <w:lvlOverride w:ilvl="0">
      <w:lvl w:ilvl="0">
        <w:isLgl w:val="false"/>
        <w:lvlJc w:val="left"/>
        <w:lvlText w:val="%1"/>
        <w:numFmt w:val="decimal"/>
        <w:pPr>
          <w:pBdr/>
          <w:spacing/>
          <w:ind w:firstLine="567" w:left="0"/>
        </w:pPr>
        <w:rPr>
          <w:rFonts w:hint="default"/>
          <w:b/>
          <w:color w:val="auto"/>
          <w:sz w:val="28"/>
          <w:szCs w:val="28"/>
        </w:rPr>
        <w:start w:val="1"/>
        <w:suff w:val="space"/>
      </w:lvl>
    </w:lvlOverride>
    <w:lvlOverride w:ilvl="1">
      <w:lvl w:ilvl="1">
        <w:isLgl w:val="true"/>
        <w:lvlJc w:val="left"/>
        <w:lvlText w:val="%1.%2"/>
        <w:numFmt w:val="decimal"/>
        <w:pPr>
          <w:pBdr/>
          <w:spacing/>
          <w:ind w:firstLine="567" w:left="0"/>
        </w:pPr>
        <w:rPr>
          <w:rFonts w:hint="default" w:ascii="Times New Roman" w:hAnsi="Times New Roman" w:cs="Times New Roman"/>
          <w:b/>
          <w:i w:val="0"/>
          <w:color w:val="auto"/>
          <w:sz w:val="28"/>
          <w:szCs w:val="22"/>
        </w:rPr>
        <w:start w:val="1"/>
        <w:suff w:val="space"/>
      </w:lvl>
    </w:lvlOverride>
    <w:lvlOverride w:ilvl="2">
      <w:lvl w:ilvl="2">
        <w:isLgl w:val="true"/>
        <w:lvlJc w:val="left"/>
        <w:lvlText w:val="%1.%2.%3"/>
        <w:numFmt w:val="decimal"/>
        <w:pPr>
          <w:pBdr/>
          <w:spacing/>
          <w:ind w:firstLine="567" w:left="0"/>
        </w:pPr>
        <w:rPr>
          <w:rFonts w:hint="default" w:ascii="Times New Roman" w:hAnsi="Times New Roman" w:cs="Times New Roman"/>
          <w:b w:val="0"/>
          <w:color w:val="auto"/>
          <w:sz w:val="28"/>
          <w:szCs w:val="28"/>
        </w:rPr>
        <w:start w:val="1"/>
        <w:suff w:val="space"/>
      </w:lvl>
    </w:lvlOverride>
    <w:lvlOverride w:ilvl="3">
      <w:lvl w:ilvl="3">
        <w:isLgl w:val="true"/>
        <w:lvlJc w:val="left"/>
        <w:lvlText w:val="%1.%2.%3.%4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  <w:lvlOverride w:ilvl="4">
      <w:lvl w:ilvl="4">
        <w:isLgl w:val="true"/>
        <w:lvlJc w:val="left"/>
        <w:lvlText w:val="%1.%2.%3.%4.%5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  <w:lvlOverride w:ilvl="5">
      <w:lvl w:ilvl="5">
        <w:isLgl w:val="true"/>
        <w:lvlJc w:val="left"/>
        <w:lvlText w:val="%1.%2.%3.%4.%5.%6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  <w:lvlOverride w:ilvl="6">
      <w:lvl w:ilvl="6">
        <w:isLgl w:val="true"/>
        <w:lvlJc w:val="left"/>
        <w:lvlText w:val="%1.%2.%3.%4.%5.%6.%7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  <w:lvlOverride w:ilvl="7">
      <w:lvl w:ilvl="7">
        <w:isLgl w:val="true"/>
        <w:lvlJc w:val="left"/>
        <w:lvlText w:val="%1.%2.%3.%4.%5.%6.%7.%8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  <w:lvlOverride w:ilvl="8">
      <w:lvl w:ilvl="8">
        <w:isLgl w:val="true"/>
        <w:lvlJc w:val="left"/>
        <w:lvlText w:val="%1.%2.%3.%4.%5.%6.%7.%8.%9."/>
        <w:numFmt w:val="decimal"/>
        <w:pPr>
          <w:pBdr/>
          <w:spacing/>
          <w:ind w:firstLine="567" w:left="0"/>
        </w:pPr>
        <w:rPr>
          <w:rFonts w:hint="default"/>
        </w:rPr>
        <w:start w:val="1"/>
        <w:suff w:val="tab"/>
      </w:lvl>
    </w:lvlOverride>
  </w:num>
  <w:num w:numId="3">
    <w:abstractNumId w:val="26"/>
  </w:num>
  <w:num w:numId="4">
    <w:abstractNumId w:val="3"/>
  </w:num>
  <w:num w:numId="5">
    <w:abstractNumId w:val="24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</w:num>
  <w:num w:numId="9">
    <w:abstractNumId w:val="35"/>
    <w:lvlOverride w:ilvl="0">
      <w:startOverride w:val="6"/>
    </w:lvlOverride>
  </w:num>
  <w:num w:numId="10">
    <w:abstractNumId w:val="35"/>
    <w:lvlOverride w:ilvl="0">
      <w:startOverride w:val="7"/>
    </w:lvlOverride>
  </w:num>
  <w:num w:numId="11">
    <w:abstractNumId w:val="35"/>
    <w:lvlOverride w:ilvl="0">
      <w:startOverride w:val="4"/>
    </w:lvlOverride>
    <w:lvlOverride w:ilvl="1">
      <w:startOverride w:val="2"/>
    </w:lvlOverride>
  </w:num>
  <w:num w:numId="12">
    <w:abstractNumId w:val="18"/>
  </w:num>
  <w:num w:numId="1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  <w:lvlOverride w:ilvl="0">
      <w:startOverride w:val="8"/>
    </w:lvlOverride>
    <w:lvlOverride w:ilvl="1">
      <w:startOverride w:val="2"/>
    </w:lvlOverride>
  </w:num>
  <w:num w:numId="16">
    <w:abstractNumId w:val="6"/>
  </w:num>
  <w:num w:numId="17">
    <w:abstractNumId w:val="37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30"/>
  </w:num>
  <w:num w:numId="22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4"/>
  </w:num>
  <w:num w:numId="27">
    <w:abstractNumId w:val="5"/>
  </w:num>
  <w:num w:numId="28">
    <w:abstractNumId w:val="10"/>
  </w:num>
  <w:num w:numId="29">
    <w:abstractNumId w:val="33"/>
  </w:num>
  <w:num w:numId="30">
    <w:abstractNumId w:val="16"/>
  </w:num>
  <w:num w:numId="31">
    <w:abstractNumId w:val="0"/>
  </w:num>
  <w:num w:numId="32">
    <w:abstractNumId w:val="12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27"/>
  </w:num>
  <w:num w:numId="37">
    <w:abstractNumId w:val="11"/>
  </w:num>
  <w:num w:numId="38">
    <w:abstractNumId w:val="22"/>
  </w:num>
  <w:num w:numId="39">
    <w:abstractNumId w:val="17"/>
  </w:num>
  <w:num w:numId="40">
    <w:abstractNumId w:val="25"/>
  </w:num>
  <w:num w:numId="41">
    <w:abstractNumId w:val="14"/>
  </w:num>
  <w:num w:numId="42">
    <w:abstractNumId w:val="7"/>
  </w:num>
  <w:num w:numId="43">
    <w:abstractNumId w:val="29"/>
  </w:num>
  <w:num w:numId="44">
    <w:abstractNumId w:val="2"/>
  </w:num>
  <w:num w:numId="45">
    <w:abstractNumId w:val="13"/>
  </w:num>
  <w:num w:numId="46">
    <w:abstractNumId w:val="15"/>
  </w:num>
  <w:num w:numId="47">
    <w:abstractNumId w:val="8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0"/>
  <w:defaultTabStop w:val="708"/>
  <w:hyphenationZone w:val="357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48" w:default="1">
    <w:name w:val="Normal"/>
    <w:qFormat/>
    <w:pPr>
      <w:widowControl w:val="false"/>
      <w:pBdr/>
      <w:spacing w:line="360" w:lineRule="auto"/>
      <w:ind w:firstLine="709"/>
      <w:jc w:val="both"/>
    </w:pPr>
    <w:rPr>
      <w:sz w:val="28"/>
    </w:rPr>
  </w:style>
  <w:style w:type="paragraph" w:styleId="949">
    <w:name w:val="Heading 1"/>
    <w:basedOn w:val="948"/>
    <w:next w:val="948"/>
    <w:link w:val="1125"/>
    <w:qFormat/>
    <w:pPr>
      <w:keepNext w:val="true"/>
      <w:keepLines w:val="true"/>
      <w:numPr>
        <w:numId w:val="1"/>
      </w:numPr>
      <w:pBdr/>
      <w:spacing/>
      <w:ind/>
      <w:outlineLvl w:val="0"/>
    </w:pPr>
    <w:rPr>
      <w:b/>
      <w:bCs/>
      <w:szCs w:val="32"/>
      <w:lang w:eastAsia="en-US"/>
    </w:rPr>
  </w:style>
  <w:style w:type="paragraph" w:styleId="950">
    <w:name w:val="Heading 2"/>
    <w:basedOn w:val="949"/>
    <w:next w:val="948"/>
    <w:link w:val="1126"/>
    <w:unhideWhenUsed/>
    <w:qFormat/>
    <w:pPr>
      <w:numPr>
        <w:ilvl w:val="1"/>
      </w:numPr>
      <w:pBdr/>
      <w:spacing/>
      <w:ind/>
      <w:outlineLvl w:val="1"/>
    </w:pPr>
    <w:rPr>
      <w:lang w:val="en-US"/>
    </w:rPr>
  </w:style>
  <w:style w:type="paragraph" w:styleId="951">
    <w:name w:val="Heading 3"/>
    <w:basedOn w:val="950"/>
    <w:next w:val="948"/>
    <w:link w:val="1141"/>
    <w:unhideWhenUsed/>
    <w:qFormat/>
    <w:pPr>
      <w:numPr>
        <w:ilvl w:val="2"/>
      </w:numPr>
      <w:pBdr/>
      <w:spacing/>
      <w:ind/>
      <w:outlineLvl w:val="2"/>
    </w:pPr>
  </w:style>
  <w:style w:type="paragraph" w:styleId="952">
    <w:name w:val="Heading 4"/>
    <w:basedOn w:val="951"/>
    <w:link w:val="1127"/>
    <w:qFormat/>
    <w:pPr>
      <w:numPr>
        <w:ilvl w:val="3"/>
      </w:numPr>
      <w:pBdr/>
      <w:spacing/>
      <w:ind/>
      <w:outlineLvl w:val="3"/>
    </w:pPr>
  </w:style>
  <w:style w:type="paragraph" w:styleId="953">
    <w:name w:val="Heading 5"/>
    <w:basedOn w:val="952"/>
    <w:next w:val="948"/>
    <w:link w:val="1152"/>
    <w:unhideWhenUsed/>
    <w:qFormat/>
    <w:pPr>
      <w:numPr>
        <w:ilvl w:val="4"/>
      </w:numPr>
      <w:pBdr/>
      <w:spacing/>
      <w:ind/>
      <w:outlineLvl w:val="4"/>
    </w:pPr>
  </w:style>
  <w:style w:type="paragraph" w:styleId="954">
    <w:name w:val="Heading 6"/>
    <w:basedOn w:val="948"/>
    <w:next w:val="948"/>
    <w:link w:val="1157"/>
    <w:unhideWhenUsed/>
    <w:qFormat/>
    <w:pPr>
      <w:numPr>
        <w:ilvl w:val="5"/>
        <w:numId w:val="1"/>
      </w:numPr>
      <w:pBdr/>
      <w:spacing w:after="60" w:before="240"/>
      <w:ind/>
      <w:outlineLvl w:val="5"/>
    </w:pPr>
    <w:rPr>
      <w:rFonts w:ascii="Calibri" w:hAnsi="Calibri"/>
      <w:b/>
      <w:bCs/>
      <w:sz w:val="22"/>
      <w:szCs w:val="22"/>
    </w:rPr>
  </w:style>
  <w:style w:type="paragraph" w:styleId="955">
    <w:name w:val="Heading 7"/>
    <w:basedOn w:val="948"/>
    <w:next w:val="948"/>
    <w:link w:val="1158"/>
    <w:unhideWhenUsed/>
    <w:qFormat/>
    <w:pPr>
      <w:numPr>
        <w:ilvl w:val="6"/>
        <w:numId w:val="1"/>
      </w:numPr>
      <w:pBdr/>
      <w:spacing w:after="60" w:before="240"/>
      <w:ind/>
      <w:outlineLvl w:val="6"/>
    </w:pPr>
    <w:rPr>
      <w:rFonts w:ascii="Calibri" w:hAnsi="Calibri"/>
      <w:sz w:val="24"/>
      <w:szCs w:val="24"/>
    </w:rPr>
  </w:style>
  <w:style w:type="paragraph" w:styleId="956">
    <w:name w:val="Heading 8"/>
    <w:basedOn w:val="948"/>
    <w:next w:val="948"/>
    <w:link w:val="1159"/>
    <w:unhideWhenUsed/>
    <w:qFormat/>
    <w:pPr>
      <w:numPr>
        <w:ilvl w:val="7"/>
        <w:numId w:val="1"/>
      </w:numPr>
      <w:pBdr/>
      <w:spacing w:after="60" w:before="240"/>
      <w:ind/>
      <w:outlineLvl w:val="7"/>
    </w:pPr>
    <w:rPr>
      <w:rFonts w:ascii="Calibri" w:hAnsi="Calibri"/>
      <w:i/>
      <w:iCs/>
      <w:sz w:val="24"/>
      <w:szCs w:val="24"/>
    </w:rPr>
  </w:style>
  <w:style w:type="paragraph" w:styleId="957">
    <w:name w:val="Heading 9"/>
    <w:basedOn w:val="948"/>
    <w:next w:val="948"/>
    <w:link w:val="1160"/>
    <w:unhideWhenUsed/>
    <w:qFormat/>
    <w:pPr>
      <w:numPr>
        <w:ilvl w:val="8"/>
        <w:numId w:val="1"/>
      </w:numPr>
      <w:pBdr/>
      <w:spacing w:after="60" w:before="240"/>
      <w:ind/>
      <w:outlineLvl w:val="8"/>
    </w:pPr>
    <w:rPr>
      <w:rFonts w:ascii="Cambria" w:hAnsi="Cambria"/>
      <w:sz w:val="22"/>
      <w:szCs w:val="22"/>
    </w:rPr>
  </w:style>
  <w:style w:type="character" w:styleId="958" w:default="1">
    <w:name w:val="Default Paragraph Font"/>
    <w:uiPriority w:val="1"/>
    <w:semiHidden/>
    <w:unhideWhenUsed/>
    <w:pPr>
      <w:pBdr/>
      <w:spacing/>
      <w:ind/>
    </w:pPr>
  </w:style>
  <w:style w:type="table" w:styleId="95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0" w:default="1">
    <w:name w:val="No List"/>
    <w:uiPriority w:val="99"/>
    <w:semiHidden/>
    <w:unhideWhenUsed/>
    <w:pPr>
      <w:pBdr/>
      <w:spacing/>
      <w:ind/>
    </w:pPr>
  </w:style>
  <w:style w:type="character" w:styleId="961" w:customStyle="1">
    <w:name w:val="Title Char"/>
    <w:basedOn w:val="9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62" w:customStyle="1">
    <w:name w:val="Subtitle Char"/>
    <w:basedOn w:val="9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3" w:customStyle="1">
    <w:name w:val="Quote Char"/>
    <w:basedOn w:val="9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64" w:customStyle="1">
    <w:name w:val="Intense Quote Char"/>
    <w:basedOn w:val="958"/>
    <w:uiPriority w:val="30"/>
    <w:pPr>
      <w:pBdr/>
      <w:spacing/>
      <w:ind/>
    </w:pPr>
    <w:rPr>
      <w:i/>
      <w:iCs/>
      <w:color w:val="2e74b5" w:themeColor="accent1" w:themeShade="BF"/>
    </w:rPr>
  </w:style>
  <w:style w:type="table" w:styleId="965" w:customStyle="1">
    <w:name w:val="Table Grid Light"/>
    <w:basedOn w:val="959"/>
    <w:link w:val="1293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Plain Table 1"/>
    <w:basedOn w:val="959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Plain Table 2"/>
    <w:basedOn w:val="959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Plain Table 3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Plain Table 4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Plain Table 5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1 Light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1 Light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1 Light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1 Light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1 Light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Grid Table 1 Light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Grid Table 1 Light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Grid Table 2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Grid Table 2 - Accent 1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Grid Table 2 - Accent 2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Grid Table 2 - Accent 3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Grid Table 2 - Accent 4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Grid Table 2 - Accent 5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Grid Table 2 - Accent 6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Grid Table 3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Grid Table 3 - Accent 1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Grid Table 3 - Accent 2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Grid Table 3 - Accent 3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Grid Table 3 - Accent 4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Grid Table 3 - Accent 5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Grid Table 3 - Accent 6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Grid Table 4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Grid Table 4 - Accent 1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Grid Table 4 - Accent 2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4 - Accent 3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Grid Table 4 - Accent 4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Grid Table 4 - Accent 5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Grid Table 4 - Accent 6"/>
    <w:basedOn w:val="959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Grid Table 5 Dark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Grid Table 5 Dark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Grid Table 5 Dark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Grid Table 5 Dark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Grid Table 5 Dark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Grid Table 5 Dark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Grid Table 5 Dark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Grid Table 6 Colorful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Grid Table 6 Colorful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Grid Table 6 Colorful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Grid Table 6 Colorful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Grid Table 6 Colorful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Grid Table 6 Colorful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Grid Table 6 Colorful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Grid Table 7 Colorful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Grid Table 7 Colorful - Accent 1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Grid Table 7 Colorful - Accent 2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Grid Table 7 Colorful - Accent 3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Grid Table 7 Colorful - Accent 4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Grid Table 7 Colorful - Accent 5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Grid Table 7 Colorful - Accent 6"/>
    <w:basedOn w:val="959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1 Light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1 Light - Accent 1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1 Light - Accent 2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1 Light - Accent 3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1 Light - Accent 4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st Table 1 Light - Accent 5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st Table 1 Light - Accent 6"/>
    <w:basedOn w:val="95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st Table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st Table 2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st Table 2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st Table 2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st Table 2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List Table 2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List Table 2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List Table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List Table 3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List Table 3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List Table 3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List Table 3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List Table 3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List Table 3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List Table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List Table 4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List Table 4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List Table 4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List Table 4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List Table 4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List Table 4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List Table 5 Dark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List Table 5 Dark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List Table 5 Dark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 w:customStyle="1">
    <w:name w:val="List Table 5 Dark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List Table 5 Dark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List Table 5 Dark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List Table 5 Dark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List Table 6 Colorful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List Table 6 Colorful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List Table 6 Colorful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 w:customStyle="1">
    <w:name w:val="List Table 6 Colorful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List Table 6 Colorful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List Table 6 Colorful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List Table 6 Colorful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List Table 7 Colorful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List Table 7 Colorful - Accent 1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List Table 7 Colorful - Accent 2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 w:customStyle="1">
    <w:name w:val="List Table 7 Colorful - Accent 3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List Table 7 Colorful - Accent 4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List Table 7 Colorful - Accent 5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List Table 7 Colorful - Accent 6"/>
    <w:basedOn w:val="959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Lined - Accent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Lined - Accent 1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Lined - Accent 2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 w:customStyle="1">
    <w:name w:val="Lined - Accent 3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Lined - Accent 4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Lined - Accent 5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Lined - Accent 6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Bordered &amp; Lined - Accent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Bordered &amp; Lined - Accent 1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Bordered &amp; Lined - Accent 2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Bordered &amp; Lined - Accent 3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Bordered &amp; Lined - Accent 4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Bordered &amp; Lined - Accent 5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Bordered &amp; Lined - Accent 6"/>
    <w:basedOn w:val="95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Bordered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Bordered - Accent 1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Bordered - Accent 2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Bordered - Accent 3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Bordered - Accent 4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Bordered - Accent 5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Bordered - Accent 6"/>
    <w:basedOn w:val="959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90" w:customStyle="1">
    <w:name w:val="Heading 1 Char"/>
    <w:basedOn w:val="95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1091" w:customStyle="1">
    <w:name w:val="Heading 2 Char"/>
    <w:basedOn w:val="95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1092" w:customStyle="1">
    <w:name w:val="Heading 3 Char"/>
    <w:basedOn w:val="95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1093" w:customStyle="1">
    <w:name w:val="Heading 4 Char"/>
    <w:basedOn w:val="958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1094" w:customStyle="1">
    <w:name w:val="Heading 5 Char"/>
    <w:basedOn w:val="95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1095" w:customStyle="1">
    <w:name w:val="Heading 6 Char"/>
    <w:basedOn w:val="95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96" w:customStyle="1">
    <w:name w:val="Heading 7 Char"/>
    <w:basedOn w:val="95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97" w:customStyle="1">
    <w:name w:val="Heading 8 Char"/>
    <w:basedOn w:val="9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98" w:customStyle="1">
    <w:name w:val="Heading 9 Char"/>
    <w:basedOn w:val="9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99">
    <w:name w:val="Title"/>
    <w:basedOn w:val="948"/>
    <w:next w:val="948"/>
    <w:link w:val="110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00" w:customStyle="1">
    <w:name w:val="Название Знак"/>
    <w:basedOn w:val="958"/>
    <w:link w:val="109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01">
    <w:name w:val="Subtitle"/>
    <w:basedOn w:val="948"/>
    <w:next w:val="948"/>
    <w:link w:val="1102"/>
    <w:uiPriority w:val="11"/>
    <w:qFormat/>
    <w:pPr>
      <w:numPr>
        <w:ilvl w:val="1"/>
      </w:numPr>
      <w:pBdr/>
      <w:spacing/>
      <w:ind w:firstLine="709"/>
    </w:pPr>
    <w:rPr>
      <w:color w:val="595959" w:themeColor="text1" w:themeTint="A6"/>
      <w:spacing w:val="15"/>
      <w:szCs w:val="28"/>
    </w:rPr>
  </w:style>
  <w:style w:type="character" w:styleId="1102" w:customStyle="1">
    <w:name w:val="Подзаголовок Знак"/>
    <w:basedOn w:val="958"/>
    <w:link w:val="110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03">
    <w:name w:val="Quote"/>
    <w:basedOn w:val="948"/>
    <w:next w:val="948"/>
    <w:link w:val="110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04" w:customStyle="1">
    <w:name w:val="Цитата 2 Знак"/>
    <w:basedOn w:val="958"/>
    <w:link w:val="110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05">
    <w:name w:val="Intense Emphasis"/>
    <w:basedOn w:val="958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1106">
    <w:name w:val="Intense Quote"/>
    <w:basedOn w:val="948"/>
    <w:next w:val="948"/>
    <w:link w:val="1107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1107" w:customStyle="1">
    <w:name w:val="Выделенная цитата Знак"/>
    <w:basedOn w:val="958"/>
    <w:link w:val="1106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1108">
    <w:name w:val="Intense Reference"/>
    <w:basedOn w:val="958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paragraph" w:styleId="1109">
    <w:name w:val="No Spacing"/>
    <w:basedOn w:val="948"/>
    <w:uiPriority w:val="1"/>
    <w:qFormat/>
    <w:pPr>
      <w:pBdr/>
      <w:spacing w:line="240" w:lineRule="auto"/>
      <w:ind/>
    </w:pPr>
  </w:style>
  <w:style w:type="character" w:styleId="1110">
    <w:name w:val="Subtle Emphasis"/>
    <w:basedOn w:val="9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11">
    <w:name w:val="Subtle Reference"/>
    <w:basedOn w:val="9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12">
    <w:name w:val="Book Title"/>
    <w:basedOn w:val="95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13" w:customStyle="1">
    <w:name w:val="Header Char"/>
    <w:basedOn w:val="958"/>
    <w:uiPriority w:val="99"/>
    <w:pPr>
      <w:pBdr/>
      <w:spacing/>
      <w:ind/>
    </w:pPr>
  </w:style>
  <w:style w:type="character" w:styleId="1114" w:customStyle="1">
    <w:name w:val="Footer Char"/>
    <w:basedOn w:val="958"/>
    <w:uiPriority w:val="99"/>
    <w:pPr>
      <w:pBdr/>
      <w:spacing/>
      <w:ind/>
    </w:pPr>
  </w:style>
  <w:style w:type="paragraph" w:styleId="1115">
    <w:name w:val="Caption"/>
    <w:basedOn w:val="948"/>
    <w:next w:val="948"/>
    <w:uiPriority w:val="35"/>
    <w:unhideWhenUsed/>
    <w:qFormat/>
    <w:pPr>
      <w:pBdr/>
      <w:spacing w:after="200" w:line="240" w:lineRule="auto"/>
      <w:ind/>
    </w:pPr>
    <w:rPr>
      <w:i/>
      <w:iCs/>
      <w:color w:val="44546a" w:themeColor="text2"/>
      <w:sz w:val="18"/>
      <w:szCs w:val="18"/>
    </w:rPr>
  </w:style>
  <w:style w:type="character" w:styleId="1116" w:customStyle="1">
    <w:name w:val="Footnote Text Char"/>
    <w:basedOn w:val="958"/>
    <w:uiPriority w:val="99"/>
    <w:semiHidden/>
    <w:pPr>
      <w:pBdr/>
      <w:spacing/>
      <w:ind/>
    </w:pPr>
    <w:rPr>
      <w:sz w:val="20"/>
      <w:szCs w:val="20"/>
    </w:rPr>
  </w:style>
  <w:style w:type="character" w:styleId="1117" w:customStyle="1">
    <w:name w:val="Endnote Text Char"/>
    <w:basedOn w:val="958"/>
    <w:uiPriority w:val="99"/>
    <w:semiHidden/>
    <w:pPr>
      <w:pBdr/>
      <w:spacing/>
      <w:ind/>
    </w:pPr>
    <w:rPr>
      <w:sz w:val="20"/>
      <w:szCs w:val="20"/>
    </w:rPr>
  </w:style>
  <w:style w:type="paragraph" w:styleId="1118">
    <w:name w:val="toc 2"/>
    <w:basedOn w:val="948"/>
    <w:next w:val="948"/>
    <w:uiPriority w:val="39"/>
    <w:unhideWhenUsed/>
    <w:pPr>
      <w:pBdr/>
      <w:spacing w:after="100"/>
      <w:ind w:left="220"/>
    </w:pPr>
  </w:style>
  <w:style w:type="paragraph" w:styleId="1119">
    <w:name w:val="toc 4"/>
    <w:basedOn w:val="948"/>
    <w:next w:val="948"/>
    <w:uiPriority w:val="39"/>
    <w:unhideWhenUsed/>
    <w:pPr>
      <w:pBdr/>
      <w:spacing w:after="100"/>
      <w:ind w:left="660"/>
    </w:pPr>
  </w:style>
  <w:style w:type="paragraph" w:styleId="1120">
    <w:name w:val="toc 6"/>
    <w:basedOn w:val="948"/>
    <w:next w:val="948"/>
    <w:uiPriority w:val="39"/>
    <w:unhideWhenUsed/>
    <w:pPr>
      <w:pBdr/>
      <w:spacing w:after="100"/>
      <w:ind w:left="1100"/>
    </w:pPr>
  </w:style>
  <w:style w:type="paragraph" w:styleId="1121">
    <w:name w:val="toc 7"/>
    <w:basedOn w:val="948"/>
    <w:next w:val="948"/>
    <w:uiPriority w:val="39"/>
    <w:unhideWhenUsed/>
    <w:pPr>
      <w:pBdr/>
      <w:spacing w:after="100"/>
      <w:ind w:left="1320"/>
    </w:pPr>
  </w:style>
  <w:style w:type="paragraph" w:styleId="1122">
    <w:name w:val="toc 8"/>
    <w:basedOn w:val="948"/>
    <w:next w:val="948"/>
    <w:uiPriority w:val="39"/>
    <w:unhideWhenUsed/>
    <w:pPr>
      <w:pBdr/>
      <w:spacing w:after="100"/>
      <w:ind w:left="1540"/>
    </w:pPr>
  </w:style>
  <w:style w:type="paragraph" w:styleId="1123">
    <w:name w:val="toc 9"/>
    <w:basedOn w:val="948"/>
    <w:next w:val="948"/>
    <w:uiPriority w:val="39"/>
    <w:unhideWhenUsed/>
    <w:pPr>
      <w:pBdr/>
      <w:spacing w:after="100"/>
      <w:ind w:left="1760"/>
    </w:pPr>
  </w:style>
  <w:style w:type="paragraph" w:styleId="1124">
    <w:name w:val="table of figures"/>
    <w:basedOn w:val="948"/>
    <w:next w:val="948"/>
    <w:uiPriority w:val="99"/>
    <w:unhideWhenUsed/>
    <w:pPr>
      <w:pBdr/>
      <w:spacing/>
      <w:ind/>
    </w:pPr>
  </w:style>
  <w:style w:type="character" w:styleId="1125" w:customStyle="1">
    <w:name w:val="Заголовок 1 Знак"/>
    <w:link w:val="949"/>
    <w:pPr>
      <w:pBdr/>
      <w:spacing/>
      <w:ind/>
    </w:pPr>
    <w:rPr>
      <w:b/>
      <w:bCs/>
      <w:sz w:val="28"/>
      <w:szCs w:val="32"/>
      <w:lang w:eastAsia="en-US"/>
    </w:rPr>
  </w:style>
  <w:style w:type="character" w:styleId="1126" w:customStyle="1">
    <w:name w:val="Заголовок 2 Знак"/>
    <w:link w:val="950"/>
    <w:pPr>
      <w:pBdr/>
      <w:spacing/>
      <w:ind/>
    </w:pPr>
    <w:rPr>
      <w:b/>
      <w:bCs/>
      <w:sz w:val="28"/>
      <w:szCs w:val="32"/>
      <w:lang w:val="en-US" w:eastAsia="en-US"/>
    </w:rPr>
  </w:style>
  <w:style w:type="character" w:styleId="1127" w:customStyle="1">
    <w:name w:val="Заголовок 4 Знак"/>
    <w:link w:val="952"/>
    <w:pPr>
      <w:pBdr/>
      <w:spacing/>
      <w:ind/>
    </w:pPr>
    <w:rPr>
      <w:b/>
      <w:bCs/>
      <w:sz w:val="28"/>
      <w:szCs w:val="32"/>
      <w:lang w:val="en-US" w:eastAsia="en-US"/>
    </w:rPr>
  </w:style>
  <w:style w:type="character" w:styleId="1128">
    <w:name w:val="Strong"/>
    <w:uiPriority w:val="22"/>
    <w:qFormat/>
    <w:pPr>
      <w:pBdr/>
      <w:spacing/>
      <w:ind/>
    </w:pPr>
    <w:rPr>
      <w:b/>
      <w:bCs/>
    </w:rPr>
  </w:style>
  <w:style w:type="character" w:styleId="1129">
    <w:name w:val="Emphasis"/>
    <w:uiPriority w:val="20"/>
    <w:qFormat/>
    <w:pPr>
      <w:pBdr/>
      <w:spacing/>
      <w:ind/>
    </w:pPr>
    <w:rPr>
      <w:i/>
      <w:iCs/>
    </w:rPr>
  </w:style>
  <w:style w:type="table" w:styleId="1130">
    <w:name w:val="Table Grid"/>
    <w:basedOn w:val="9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31" w:customStyle="1">
    <w:name w:val="Титул_1"/>
    <w:basedOn w:val="948"/>
    <w:link w:val="1133"/>
    <w:pPr>
      <w:pBdr/>
      <w:spacing/>
      <w:ind w:firstLine="0"/>
      <w:jc w:val="center"/>
    </w:pPr>
    <w:rPr>
      <w:b/>
      <w:caps/>
    </w:rPr>
  </w:style>
  <w:style w:type="paragraph" w:styleId="1132" w:customStyle="1">
    <w:name w:val="Титул_2"/>
    <w:basedOn w:val="948"/>
    <w:link w:val="1135"/>
    <w:pPr>
      <w:pBdr/>
      <w:spacing/>
      <w:ind w:firstLine="0"/>
      <w:jc w:val="center"/>
    </w:pPr>
    <w:rPr>
      <w:b/>
      <w:sz w:val="26"/>
    </w:rPr>
  </w:style>
  <w:style w:type="character" w:styleId="1133" w:customStyle="1">
    <w:name w:val="Титул_1 Знак"/>
    <w:link w:val="1131"/>
    <w:pPr>
      <w:pBdr/>
      <w:spacing/>
      <w:ind/>
    </w:pPr>
    <w:rPr>
      <w:b/>
      <w:caps/>
      <w:sz w:val="28"/>
    </w:rPr>
  </w:style>
  <w:style w:type="paragraph" w:styleId="1134" w:customStyle="1">
    <w:name w:val="Обозначение1"/>
    <w:basedOn w:val="948"/>
    <w:link w:val="1137"/>
    <w:pPr>
      <w:pBdr/>
      <w:spacing/>
      <w:ind w:firstLine="0"/>
    </w:pPr>
    <w:rPr>
      <w:b/>
    </w:rPr>
  </w:style>
  <w:style w:type="character" w:styleId="1135" w:customStyle="1">
    <w:name w:val="Титул_2 Знак"/>
    <w:link w:val="1132"/>
    <w:pPr>
      <w:pBdr/>
      <w:spacing/>
      <w:ind/>
    </w:pPr>
    <w:rPr>
      <w:b/>
      <w:sz w:val="26"/>
    </w:rPr>
  </w:style>
  <w:style w:type="paragraph" w:styleId="1136">
    <w:name w:val="Balloon Text"/>
    <w:basedOn w:val="948"/>
    <w:link w:val="1138"/>
    <w:uiPriority w:val="99"/>
    <w:semiHidden/>
    <w:unhideWhenUsed/>
    <w:pPr>
      <w:pBdr/>
      <w:spacing w:line="240" w:lineRule="auto"/>
      <w:ind/>
    </w:pPr>
    <w:rPr>
      <w:rFonts w:ascii="Tahoma" w:hAnsi="Tahoma"/>
      <w:sz w:val="16"/>
      <w:szCs w:val="16"/>
    </w:rPr>
  </w:style>
  <w:style w:type="character" w:styleId="1137" w:customStyle="1">
    <w:name w:val="Обозначение1 Знак"/>
    <w:link w:val="1134"/>
    <w:pPr>
      <w:pBdr/>
      <w:spacing/>
      <w:ind/>
    </w:pPr>
    <w:rPr>
      <w:b/>
      <w:sz w:val="28"/>
    </w:rPr>
  </w:style>
  <w:style w:type="character" w:styleId="1138" w:customStyle="1">
    <w:name w:val="Текст выноски Знак"/>
    <w:link w:val="1136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139" w:customStyle="1">
    <w:name w:val="Наименование_англ"/>
    <w:basedOn w:val="948"/>
    <w:link w:val="1150"/>
    <w:pPr>
      <w:pBdr/>
      <w:spacing/>
      <w:ind w:firstLine="0"/>
      <w:jc w:val="center"/>
    </w:pPr>
    <w:rPr>
      <w:lang w:val="en-US"/>
    </w:rPr>
  </w:style>
  <w:style w:type="paragraph" w:styleId="1140" w:customStyle="1">
    <w:name w:val="Наименование1"/>
    <w:basedOn w:val="948"/>
    <w:next w:val="1142"/>
    <w:link w:val="1143"/>
    <w:pPr>
      <w:pBdr/>
      <w:spacing/>
      <w:ind w:firstLine="0"/>
      <w:jc w:val="center"/>
    </w:pPr>
    <w:rPr>
      <w:b/>
      <w:caps/>
    </w:rPr>
  </w:style>
  <w:style w:type="character" w:styleId="1141" w:customStyle="1">
    <w:name w:val="Заголовок 3 Знак"/>
    <w:link w:val="951"/>
    <w:pPr>
      <w:pBdr/>
      <w:spacing/>
      <w:ind/>
    </w:pPr>
    <w:rPr>
      <w:b/>
      <w:bCs/>
      <w:sz w:val="28"/>
      <w:szCs w:val="32"/>
      <w:lang w:val="en-US" w:eastAsia="en-US"/>
    </w:rPr>
  </w:style>
  <w:style w:type="paragraph" w:styleId="1142" w:customStyle="1">
    <w:name w:val="Наименование2"/>
    <w:basedOn w:val="948"/>
    <w:next w:val="948"/>
    <w:link w:val="1145"/>
    <w:pPr>
      <w:pBdr/>
      <w:spacing/>
      <w:ind w:firstLine="0"/>
      <w:jc w:val="center"/>
    </w:pPr>
    <w:rPr>
      <w:b/>
    </w:rPr>
  </w:style>
  <w:style w:type="character" w:styleId="1143" w:customStyle="1">
    <w:name w:val="Наименование1 Знак"/>
    <w:link w:val="1140"/>
    <w:pPr>
      <w:pBdr/>
      <w:spacing/>
      <w:ind/>
    </w:pPr>
    <w:rPr>
      <w:b/>
      <w:caps/>
      <w:sz w:val="28"/>
    </w:rPr>
  </w:style>
  <w:style w:type="paragraph" w:styleId="1144" w:customStyle="1">
    <w:name w:val="Заголовок_предисловие"/>
    <w:basedOn w:val="948"/>
    <w:link w:val="1147"/>
    <w:pPr>
      <w:keepNext w:val="true"/>
      <w:keepLines w:val="true"/>
      <w:pBdr/>
      <w:spacing/>
      <w:ind/>
      <w:jc w:val="center"/>
    </w:pPr>
    <w:rPr>
      <w:b/>
    </w:rPr>
  </w:style>
  <w:style w:type="character" w:styleId="1145" w:customStyle="1">
    <w:name w:val="Наименование2 Знак"/>
    <w:link w:val="1142"/>
    <w:pPr>
      <w:pBdr/>
      <w:spacing/>
      <w:ind/>
    </w:pPr>
    <w:rPr>
      <w:b/>
      <w:sz w:val="28"/>
    </w:rPr>
  </w:style>
  <w:style w:type="paragraph" w:styleId="1146" w:customStyle="1">
    <w:name w:val="Комментарий_1"/>
    <w:basedOn w:val="948"/>
    <w:link w:val="1149"/>
    <w:pPr>
      <w:pBdr/>
      <w:spacing w:line="240" w:lineRule="auto"/>
      <w:ind/>
    </w:pPr>
    <w:rPr>
      <w:i/>
      <w:vanish/>
      <w:sz w:val="24"/>
      <w:szCs w:val="24"/>
      <w:lang w:val="en-US"/>
    </w:rPr>
  </w:style>
  <w:style w:type="character" w:styleId="1147" w:customStyle="1">
    <w:name w:val="Заголовок_предисловие Знак"/>
    <w:link w:val="1144"/>
    <w:pPr>
      <w:pBdr/>
      <w:spacing/>
      <w:ind/>
    </w:pPr>
    <w:rPr>
      <w:b/>
      <w:sz w:val="28"/>
    </w:rPr>
  </w:style>
  <w:style w:type="paragraph" w:styleId="1148" w:customStyle="1">
    <w:name w:val="Комментарий_2"/>
    <w:basedOn w:val="1146"/>
    <w:link w:val="1151"/>
    <w:pPr>
      <w:pBdr/>
      <w:spacing/>
      <w:ind w:firstLine="0" w:left="1418"/>
    </w:pPr>
  </w:style>
  <w:style w:type="character" w:styleId="1149" w:customStyle="1">
    <w:name w:val="Комментарий_1 Знак"/>
    <w:link w:val="1146"/>
    <w:pPr>
      <w:pBdr/>
      <w:spacing/>
      <w:ind/>
    </w:pPr>
    <w:rPr>
      <w:i/>
      <w:vanish/>
      <w:sz w:val="24"/>
      <w:szCs w:val="24"/>
      <w:lang w:val="en-US"/>
    </w:rPr>
  </w:style>
  <w:style w:type="character" w:styleId="1150" w:customStyle="1">
    <w:name w:val="Наименование_англ Знак"/>
    <w:link w:val="1139"/>
    <w:pPr>
      <w:pBdr/>
      <w:spacing/>
      <w:ind/>
    </w:pPr>
    <w:rPr>
      <w:sz w:val="28"/>
      <w:lang w:val="en-US"/>
    </w:rPr>
  </w:style>
  <w:style w:type="character" w:styleId="1151" w:customStyle="1">
    <w:name w:val="Комментарий_2 Знак"/>
    <w:basedOn w:val="1149"/>
    <w:link w:val="1148"/>
    <w:pPr>
      <w:pBdr/>
      <w:spacing/>
      <w:ind/>
    </w:pPr>
    <w:rPr>
      <w:i/>
      <w:vanish/>
      <w:sz w:val="24"/>
      <w:szCs w:val="24"/>
      <w:lang w:val="en-US"/>
    </w:rPr>
  </w:style>
  <w:style w:type="character" w:styleId="1152" w:customStyle="1">
    <w:name w:val="Заголовок 5 Знак"/>
    <w:link w:val="953"/>
    <w:pPr>
      <w:pBdr/>
      <w:spacing/>
      <w:ind/>
    </w:pPr>
    <w:rPr>
      <w:b/>
      <w:bCs/>
      <w:sz w:val="28"/>
      <w:szCs w:val="32"/>
      <w:lang w:val="en-US" w:eastAsia="en-US"/>
    </w:rPr>
  </w:style>
  <w:style w:type="paragraph" w:styleId="1153">
    <w:name w:val="TOC Heading"/>
    <w:basedOn w:val="949"/>
    <w:next w:val="948"/>
    <w:uiPriority w:val="39"/>
    <w:semiHidden/>
    <w:unhideWhenUsed/>
    <w:qFormat/>
    <w:pPr>
      <w:widowControl w:val="true"/>
      <w:pBdr/>
      <w:spacing w:before="480" w:line="276" w:lineRule="auto"/>
      <w:ind w:firstLine="0"/>
      <w:jc w:val="left"/>
      <w:outlineLvl w:val="9"/>
    </w:pPr>
    <w:rPr>
      <w:rFonts w:ascii="Cambria" w:hAnsi="Cambria"/>
      <w:color w:val="365f91"/>
      <w:szCs w:val="28"/>
      <w:lang w:eastAsia="ru-RU"/>
    </w:rPr>
  </w:style>
  <w:style w:type="paragraph" w:styleId="1154">
    <w:name w:val="toc 1"/>
    <w:basedOn w:val="948"/>
    <w:next w:val="948"/>
    <w:uiPriority w:val="39"/>
    <w:unhideWhenUsed/>
    <w:pPr>
      <w:pBdr/>
      <w:spacing/>
      <w:ind/>
    </w:pPr>
  </w:style>
  <w:style w:type="character" w:styleId="1155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paragraph" w:styleId="1156">
    <w:name w:val="toc 5"/>
    <w:basedOn w:val="948"/>
    <w:next w:val="948"/>
    <w:uiPriority w:val="39"/>
    <w:unhideWhenUsed/>
    <w:pPr>
      <w:pBdr/>
      <w:spacing/>
      <w:ind w:left="1120"/>
    </w:pPr>
  </w:style>
  <w:style w:type="character" w:styleId="1157" w:customStyle="1">
    <w:name w:val="Заголовок 6 Знак"/>
    <w:link w:val="954"/>
    <w:pPr>
      <w:pBdr/>
      <w:spacing/>
      <w:ind/>
    </w:pPr>
    <w:rPr>
      <w:rFonts w:ascii="Calibri" w:hAnsi="Calibri"/>
      <w:b/>
      <w:bCs/>
      <w:sz w:val="22"/>
      <w:szCs w:val="22"/>
    </w:rPr>
  </w:style>
  <w:style w:type="character" w:styleId="1158" w:customStyle="1">
    <w:name w:val="Заголовок 7 Знак"/>
    <w:link w:val="955"/>
    <w:pPr>
      <w:pBdr/>
      <w:spacing/>
      <w:ind/>
    </w:pPr>
    <w:rPr>
      <w:rFonts w:ascii="Calibri" w:hAnsi="Calibri"/>
      <w:sz w:val="24"/>
      <w:szCs w:val="24"/>
    </w:rPr>
  </w:style>
  <w:style w:type="character" w:styleId="1159" w:customStyle="1">
    <w:name w:val="Заголовок 8 Знак"/>
    <w:link w:val="956"/>
    <w:pPr>
      <w:pBdr/>
      <w:spacing/>
      <w:ind/>
    </w:pPr>
    <w:rPr>
      <w:rFonts w:ascii="Calibri" w:hAnsi="Calibri"/>
      <w:i/>
      <w:iCs/>
      <w:sz w:val="24"/>
      <w:szCs w:val="24"/>
    </w:rPr>
  </w:style>
  <w:style w:type="character" w:styleId="1160" w:customStyle="1">
    <w:name w:val="Заголовок 9 Знак"/>
    <w:link w:val="957"/>
    <w:pPr>
      <w:pBdr/>
      <w:spacing/>
      <w:ind/>
    </w:pPr>
    <w:rPr>
      <w:rFonts w:ascii="Cambria" w:hAnsi="Cambria"/>
      <w:sz w:val="22"/>
      <w:szCs w:val="22"/>
    </w:rPr>
  </w:style>
  <w:style w:type="paragraph" w:styleId="1161">
    <w:name w:val="Header"/>
    <w:basedOn w:val="948"/>
    <w:link w:val="1163"/>
    <w:uiPriority w:val="99"/>
    <w:unhideWhenUsed/>
    <w:pPr>
      <w:pBdr/>
      <w:tabs>
        <w:tab w:val="center" w:leader="none" w:pos="4677"/>
        <w:tab w:val="right" w:leader="none" w:pos="9355"/>
      </w:tabs>
      <w:spacing/>
      <w:ind w:firstLine="0"/>
    </w:pPr>
    <w:rPr>
      <w:b/>
    </w:rPr>
  </w:style>
  <w:style w:type="paragraph" w:styleId="1162">
    <w:name w:val="toc 3"/>
    <w:basedOn w:val="948"/>
    <w:next w:val="948"/>
    <w:uiPriority w:val="39"/>
    <w:semiHidden/>
    <w:unhideWhenUsed/>
    <w:pPr>
      <w:pBdr/>
      <w:spacing/>
      <w:ind w:left="560"/>
    </w:pPr>
  </w:style>
  <w:style w:type="character" w:styleId="1163" w:customStyle="1">
    <w:name w:val="Верхний колонтитул Знак"/>
    <w:link w:val="1161"/>
    <w:uiPriority w:val="99"/>
    <w:pPr>
      <w:pBdr/>
      <w:spacing/>
      <w:ind/>
    </w:pPr>
    <w:rPr>
      <w:b/>
      <w:sz w:val="28"/>
    </w:rPr>
  </w:style>
  <w:style w:type="paragraph" w:styleId="1164">
    <w:name w:val="Footer"/>
    <w:basedOn w:val="948"/>
    <w:link w:val="116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caps/>
    </w:rPr>
  </w:style>
  <w:style w:type="character" w:styleId="1165" w:customStyle="1">
    <w:name w:val="Нижний колонтитул Знак"/>
    <w:link w:val="1164"/>
    <w:uiPriority w:val="99"/>
    <w:pPr>
      <w:pBdr/>
      <w:spacing/>
      <w:ind/>
    </w:pPr>
    <w:rPr>
      <w:caps/>
      <w:sz w:val="28"/>
    </w:rPr>
  </w:style>
  <w:style w:type="paragraph" w:styleId="1166" w:customStyle="1">
    <w:name w:val="Обозначение2"/>
    <w:basedOn w:val="1134"/>
    <w:pPr>
      <w:pBdr/>
      <w:spacing/>
      <w:ind/>
    </w:pPr>
  </w:style>
  <w:style w:type="paragraph" w:styleId="1167" w:customStyle="1">
    <w:name w:val="Обозначение3"/>
    <w:basedOn w:val="1134"/>
    <w:pPr>
      <w:pBdr/>
      <w:spacing/>
      <w:ind/>
    </w:pPr>
  </w:style>
  <w:style w:type="character" w:styleId="1168">
    <w:name w:val="annotation reference"/>
    <w:semiHidden/>
    <w:unhideWhenUsed/>
    <w:pPr>
      <w:pBdr/>
      <w:spacing/>
      <w:ind/>
    </w:pPr>
    <w:rPr>
      <w:sz w:val="16"/>
      <w:szCs w:val="16"/>
    </w:rPr>
  </w:style>
  <w:style w:type="paragraph" w:styleId="1169">
    <w:name w:val="annotation text"/>
    <w:basedOn w:val="948"/>
    <w:link w:val="1170"/>
    <w:uiPriority w:val="99"/>
    <w:unhideWhenUsed/>
    <w:pPr>
      <w:pBdr/>
      <w:spacing/>
      <w:ind/>
    </w:pPr>
    <w:rPr>
      <w:sz w:val="20"/>
    </w:rPr>
  </w:style>
  <w:style w:type="character" w:styleId="1170" w:customStyle="1">
    <w:name w:val="Текст примечания Знак"/>
    <w:basedOn w:val="958"/>
    <w:link w:val="1169"/>
    <w:uiPriority w:val="99"/>
    <w:pPr>
      <w:pBdr/>
      <w:spacing/>
      <w:ind/>
    </w:pPr>
  </w:style>
  <w:style w:type="paragraph" w:styleId="1171">
    <w:name w:val="annotation subject"/>
    <w:basedOn w:val="1169"/>
    <w:next w:val="1169"/>
    <w:link w:val="1172"/>
    <w:uiPriority w:val="99"/>
    <w:semiHidden/>
    <w:unhideWhenUsed/>
    <w:pPr>
      <w:pBdr/>
      <w:spacing/>
      <w:ind/>
    </w:pPr>
    <w:rPr>
      <w:b/>
      <w:bCs/>
    </w:rPr>
  </w:style>
  <w:style w:type="character" w:styleId="1172" w:customStyle="1">
    <w:name w:val="Тема примечания Знак"/>
    <w:link w:val="1171"/>
    <w:uiPriority w:val="99"/>
    <w:semiHidden/>
    <w:pPr>
      <w:pBdr/>
      <w:spacing/>
      <w:ind/>
    </w:pPr>
    <w:rPr>
      <w:b/>
      <w:bCs/>
    </w:rPr>
  </w:style>
  <w:style w:type="paragraph" w:styleId="1173" w:customStyle="1">
    <w:name w:val="Обозначение_проект"/>
    <w:basedOn w:val="948"/>
    <w:next w:val="1166"/>
    <w:qFormat/>
    <w:pPr>
      <w:pBdr/>
      <w:spacing/>
      <w:ind w:firstLine="0"/>
    </w:pPr>
    <w:rPr>
      <w:i/>
    </w:rPr>
  </w:style>
  <w:style w:type="paragraph" w:styleId="1174">
    <w:name w:val="endnote text"/>
    <w:basedOn w:val="948"/>
    <w:link w:val="1175"/>
    <w:uiPriority w:val="99"/>
    <w:semiHidden/>
    <w:unhideWhenUsed/>
    <w:pPr>
      <w:pBdr/>
      <w:spacing/>
      <w:ind/>
    </w:pPr>
    <w:rPr>
      <w:sz w:val="20"/>
    </w:rPr>
  </w:style>
  <w:style w:type="character" w:styleId="1175" w:customStyle="1">
    <w:name w:val="Текст концевой сноски Знак"/>
    <w:basedOn w:val="958"/>
    <w:link w:val="1174"/>
    <w:uiPriority w:val="99"/>
    <w:semiHidden/>
    <w:pPr>
      <w:pBdr/>
      <w:spacing/>
      <w:ind/>
    </w:pPr>
  </w:style>
  <w:style w:type="character" w:styleId="1176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1177">
    <w:name w:val="footnote text"/>
    <w:basedOn w:val="948"/>
    <w:link w:val="1178"/>
    <w:uiPriority w:val="99"/>
    <w:semiHidden/>
    <w:unhideWhenUsed/>
    <w:pPr>
      <w:pBdr/>
      <w:spacing/>
      <w:ind/>
    </w:pPr>
    <w:rPr>
      <w:sz w:val="20"/>
    </w:rPr>
  </w:style>
  <w:style w:type="character" w:styleId="1178" w:customStyle="1">
    <w:name w:val="Текст сноски Знак"/>
    <w:basedOn w:val="958"/>
    <w:link w:val="1177"/>
    <w:uiPriority w:val="99"/>
    <w:semiHidden/>
    <w:pPr>
      <w:pBdr/>
      <w:spacing/>
      <w:ind/>
    </w:pPr>
  </w:style>
  <w:style w:type="character" w:styleId="1179">
    <w:name w:val="footnote reference"/>
    <w:uiPriority w:val="99"/>
    <w:semiHidden/>
    <w:unhideWhenUsed/>
    <w:pPr>
      <w:pBdr/>
      <w:spacing/>
      <w:ind/>
    </w:pPr>
    <w:rPr>
      <w:vertAlign w:val="superscript"/>
    </w:rPr>
  </w:style>
  <w:style w:type="character" w:styleId="1180" w:customStyle="1">
    <w:name w:val="_reachbanner_"/>
    <w:basedOn w:val="958"/>
    <w:pPr>
      <w:pBdr/>
      <w:spacing/>
      <w:ind/>
    </w:pPr>
  </w:style>
  <w:style w:type="paragraph" w:styleId="1181">
    <w:name w:val="List Paragraph"/>
    <w:basedOn w:val="948"/>
    <w:link w:val="1204"/>
    <w:qFormat/>
    <w:pPr>
      <w:widowControl w:val="true"/>
      <w:pBdr/>
      <w:spacing w:after="200" w:line="276" w:lineRule="auto"/>
      <w:ind w:firstLine="0" w:left="720"/>
      <w:contextualSpacing w:val="true"/>
      <w:jc w:val="left"/>
    </w:pPr>
    <w:rPr>
      <w:rFonts w:ascii="Calibri" w:hAnsi="Calibri" w:eastAsia="Calibri"/>
      <w:sz w:val="22"/>
      <w:szCs w:val="22"/>
      <w:lang w:eastAsia="en-US"/>
    </w:rPr>
  </w:style>
  <w:style w:type="character" w:styleId="1182" w:customStyle="1">
    <w:name w:val="hps"/>
    <w:pPr>
      <w:pBdr/>
      <w:spacing/>
      <w:ind/>
    </w:pPr>
  </w:style>
  <w:style w:type="paragraph" w:styleId="1183" w:customStyle="1">
    <w:name w:val="Default"/>
    <w:pPr>
      <w:pBdr/>
      <w:spacing/>
      <w:ind/>
    </w:pPr>
    <w:rPr>
      <w:color w:val="000000"/>
      <w:sz w:val="24"/>
      <w:szCs w:val="24"/>
    </w:rPr>
  </w:style>
  <w:style w:type="character" w:styleId="1184" w:customStyle="1">
    <w:name w:val="Font Style67"/>
    <w:uiPriority w:val="99"/>
    <w:pPr>
      <w:pBdr/>
      <w:spacing/>
      <w:ind/>
    </w:pPr>
    <w:rPr>
      <w:rFonts w:ascii="Arial" w:hAnsi="Arial" w:cs="Arial"/>
      <w:sz w:val="18"/>
      <w:szCs w:val="18"/>
    </w:rPr>
  </w:style>
  <w:style w:type="paragraph" w:styleId="1185" w:customStyle="1">
    <w:name w:val="Style6"/>
    <w:basedOn w:val="948"/>
    <w:uiPriority w:val="99"/>
    <w:pPr>
      <w:pBdr/>
      <w:spacing w:line="250" w:lineRule="exact"/>
      <w:ind w:firstLine="0"/>
      <w:jc w:val="left"/>
    </w:pPr>
    <w:rPr>
      <w:rFonts w:ascii="Arial" w:hAnsi="Arial" w:cs="Arial"/>
      <w:sz w:val="24"/>
      <w:szCs w:val="24"/>
    </w:rPr>
  </w:style>
  <w:style w:type="character" w:styleId="1186" w:customStyle="1">
    <w:name w:val="Font Style57"/>
    <w:uiPriority w:val="99"/>
    <w:pPr>
      <w:pBdr/>
      <w:spacing/>
      <w:ind/>
    </w:pPr>
    <w:rPr>
      <w:rFonts w:ascii="Corbel" w:hAnsi="Corbel" w:cs="Corbel"/>
      <w:b/>
      <w:bCs/>
      <w:sz w:val="14"/>
      <w:szCs w:val="14"/>
    </w:rPr>
  </w:style>
  <w:style w:type="character" w:styleId="1187" w:customStyle="1">
    <w:name w:val="apple-converted-space"/>
    <w:pPr>
      <w:pBdr/>
      <w:spacing/>
      <w:ind/>
    </w:pPr>
  </w:style>
  <w:style w:type="paragraph" w:styleId="1188" w:customStyle="1">
    <w:name w:val="Style3"/>
    <w:basedOn w:val="948"/>
    <w:uiPriority w:val="99"/>
    <w:pPr>
      <w:pBdr/>
      <w:spacing w:line="432" w:lineRule="exact"/>
      <w:ind w:firstLine="643"/>
    </w:pPr>
    <w:rPr>
      <w:sz w:val="24"/>
      <w:szCs w:val="24"/>
    </w:rPr>
  </w:style>
  <w:style w:type="character" w:styleId="1189" w:customStyle="1">
    <w:name w:val="Font Style11"/>
    <w:uiPriority w:val="99"/>
    <w:pPr>
      <w:pBdr/>
      <w:spacing/>
      <w:ind/>
    </w:pPr>
    <w:rPr>
      <w:rFonts w:ascii="Times New Roman" w:hAnsi="Times New Roman" w:cs="Times New Roman"/>
      <w:b/>
      <w:bCs/>
      <w:sz w:val="20"/>
      <w:szCs w:val="20"/>
    </w:rPr>
  </w:style>
  <w:style w:type="paragraph" w:styleId="1190" w:customStyle="1">
    <w:name w:val="Style21"/>
    <w:basedOn w:val="948"/>
    <w:uiPriority w:val="99"/>
    <w:pPr>
      <w:pBdr/>
      <w:spacing w:line="209" w:lineRule="exact"/>
      <w:ind w:firstLine="0"/>
    </w:pPr>
    <w:rPr>
      <w:rFonts w:ascii="Arial" w:hAnsi="Arial" w:cs="Arial"/>
      <w:sz w:val="24"/>
      <w:szCs w:val="24"/>
    </w:rPr>
  </w:style>
  <w:style w:type="paragraph" w:styleId="1191" w:customStyle="1">
    <w:name w:val="Style28"/>
    <w:basedOn w:val="948"/>
    <w:uiPriority w:val="99"/>
    <w:pPr>
      <w:pBdr/>
      <w:spacing w:line="446" w:lineRule="exact"/>
      <w:ind w:firstLine="0"/>
      <w:jc w:val="left"/>
    </w:pPr>
    <w:rPr>
      <w:rFonts w:ascii="Arial" w:hAnsi="Arial" w:cs="Arial"/>
      <w:sz w:val="24"/>
      <w:szCs w:val="24"/>
    </w:rPr>
  </w:style>
  <w:style w:type="paragraph" w:styleId="1192" w:customStyle="1">
    <w:name w:val="Style31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styleId="1193" w:customStyle="1">
    <w:name w:val="Style32"/>
    <w:basedOn w:val="948"/>
    <w:uiPriority w:val="99"/>
    <w:pPr>
      <w:pBdr/>
      <w:spacing w:line="216" w:lineRule="exact"/>
      <w:ind w:firstLine="0"/>
      <w:jc w:val="left"/>
    </w:pPr>
    <w:rPr>
      <w:rFonts w:ascii="Arial" w:hAnsi="Arial" w:cs="Arial"/>
      <w:sz w:val="24"/>
      <w:szCs w:val="24"/>
    </w:rPr>
  </w:style>
  <w:style w:type="paragraph" w:styleId="1194" w:customStyle="1">
    <w:name w:val="Style40"/>
    <w:basedOn w:val="948"/>
    <w:uiPriority w:val="99"/>
    <w:pPr>
      <w:pBdr/>
      <w:spacing w:line="223" w:lineRule="exact"/>
      <w:ind w:firstLine="0"/>
    </w:pPr>
    <w:rPr>
      <w:rFonts w:ascii="Arial" w:hAnsi="Arial" w:cs="Arial"/>
      <w:sz w:val="24"/>
      <w:szCs w:val="24"/>
    </w:rPr>
  </w:style>
  <w:style w:type="character" w:styleId="1195" w:customStyle="1">
    <w:name w:val="Font Style75"/>
    <w:uiPriority w:val="99"/>
    <w:pPr>
      <w:pBdr/>
      <w:spacing/>
      <w:ind/>
    </w:pPr>
    <w:rPr>
      <w:rFonts w:ascii="Arial" w:hAnsi="Arial" w:cs="Arial"/>
      <w:sz w:val="16"/>
      <w:szCs w:val="16"/>
    </w:rPr>
  </w:style>
  <w:style w:type="character" w:styleId="1196" w:customStyle="1">
    <w:name w:val="Font Style77"/>
    <w:uiPriority w:val="99"/>
    <w:pPr>
      <w:pBdr/>
      <w:spacing/>
      <w:ind/>
    </w:pPr>
    <w:rPr>
      <w:rFonts w:ascii="Arial" w:hAnsi="Arial" w:cs="Arial"/>
      <w:b/>
      <w:bCs/>
      <w:sz w:val="12"/>
      <w:szCs w:val="12"/>
    </w:rPr>
  </w:style>
  <w:style w:type="character" w:styleId="1197" w:customStyle="1">
    <w:name w:val="Font Style79"/>
    <w:uiPriority w:val="99"/>
    <w:pPr>
      <w:pBdr/>
      <w:spacing/>
      <w:ind/>
    </w:pPr>
    <w:rPr>
      <w:rFonts w:ascii="Arial" w:hAnsi="Arial" w:cs="Arial"/>
      <w:b/>
      <w:bCs/>
      <w:sz w:val="16"/>
      <w:szCs w:val="16"/>
    </w:rPr>
  </w:style>
  <w:style w:type="paragraph" w:styleId="1198" w:customStyle="1">
    <w:name w:val="Style45"/>
    <w:basedOn w:val="948"/>
    <w:uiPriority w:val="99"/>
    <w:pPr>
      <w:pBdr/>
      <w:spacing w:line="216" w:lineRule="exact"/>
      <w:ind w:firstLine="0"/>
    </w:pPr>
    <w:rPr>
      <w:rFonts w:ascii="Arial" w:hAnsi="Arial" w:cs="Arial"/>
      <w:sz w:val="24"/>
      <w:szCs w:val="24"/>
    </w:rPr>
  </w:style>
  <w:style w:type="character" w:styleId="1199" w:customStyle="1">
    <w:name w:val="Font Style76"/>
    <w:uiPriority w:val="99"/>
    <w:pPr>
      <w:pBdr/>
      <w:spacing/>
      <w:ind/>
    </w:pPr>
    <w:rPr>
      <w:rFonts w:ascii="Arial" w:hAnsi="Arial" w:cs="Arial"/>
      <w:i/>
      <w:iCs/>
      <w:sz w:val="16"/>
      <w:szCs w:val="16"/>
    </w:rPr>
  </w:style>
  <w:style w:type="paragraph" w:styleId="1200" w:customStyle="1">
    <w:name w:val="Style19"/>
    <w:basedOn w:val="948"/>
    <w:uiPriority w:val="99"/>
    <w:pPr>
      <w:pBdr/>
      <w:spacing w:line="223" w:lineRule="exact"/>
      <w:ind w:firstLine="0"/>
      <w:jc w:val="center"/>
    </w:pPr>
    <w:rPr>
      <w:rFonts w:ascii="Arial" w:hAnsi="Arial" w:cs="Arial"/>
      <w:sz w:val="24"/>
      <w:szCs w:val="24"/>
    </w:rPr>
  </w:style>
  <w:style w:type="paragraph" w:styleId="1201" w:customStyle="1">
    <w:name w:val="Style63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styleId="1202" w:customStyle="1">
    <w:name w:val="Font Style13"/>
    <w:uiPriority w:val="99"/>
    <w:pPr>
      <w:pBdr/>
      <w:spacing/>
      <w:ind/>
    </w:pPr>
    <w:rPr>
      <w:rFonts w:ascii="Times New Roman" w:hAnsi="Times New Roman" w:cs="Times New Roman"/>
      <w:sz w:val="22"/>
      <w:szCs w:val="22"/>
    </w:rPr>
  </w:style>
  <w:style w:type="paragraph" w:styleId="1203" w:customStyle="1">
    <w:name w:val="Знак"/>
    <w:basedOn w:val="948"/>
    <w:pPr>
      <w:widowControl w:val="true"/>
      <w:pBdr/>
      <w:spacing w:after="160" w:line="240" w:lineRule="exact"/>
      <w:ind w:firstLine="0"/>
      <w:jc w:val="left"/>
    </w:pPr>
    <w:rPr>
      <w:rFonts w:cs="Arial"/>
      <w:sz w:val="24"/>
      <w:lang w:val="en-US" w:eastAsia="en-US"/>
    </w:rPr>
  </w:style>
  <w:style w:type="character" w:styleId="1204" w:customStyle="1">
    <w:name w:val="Абзац списка Знак"/>
    <w:link w:val="1181"/>
    <w:uiPriority w:val="34"/>
    <w:pPr>
      <w:pBdr/>
      <w:spacing/>
      <w:ind/>
    </w:pPr>
    <w:rPr>
      <w:rFonts w:ascii="Calibri" w:hAnsi="Calibri" w:eastAsia="Calibri"/>
      <w:sz w:val="22"/>
      <w:szCs w:val="22"/>
      <w:lang w:eastAsia="en-US"/>
    </w:rPr>
  </w:style>
  <w:style w:type="paragraph" w:styleId="1205" w:customStyle="1">
    <w:name w:val="Style14"/>
    <w:basedOn w:val="948"/>
    <w:uiPriority w:val="99"/>
    <w:pPr>
      <w:pBdr/>
      <w:spacing w:line="253" w:lineRule="exact"/>
      <w:ind w:firstLine="0"/>
      <w:jc w:val="left"/>
    </w:pPr>
    <w:rPr>
      <w:rFonts w:ascii="Arial" w:hAnsi="Arial" w:cs="Arial"/>
      <w:sz w:val="24"/>
      <w:szCs w:val="24"/>
    </w:rPr>
  </w:style>
  <w:style w:type="paragraph" w:styleId="1206" w:customStyle="1">
    <w:name w:val="Style55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styleId="1207" w:customStyle="1">
    <w:name w:val="Font Style103"/>
    <w:uiPriority w:val="99"/>
    <w:pPr>
      <w:pBdr/>
      <w:spacing/>
      <w:ind/>
    </w:pPr>
    <w:rPr>
      <w:rFonts w:ascii="Arial" w:hAnsi="Arial" w:cs="Arial"/>
      <w:b/>
      <w:bCs/>
      <w:sz w:val="18"/>
      <w:szCs w:val="18"/>
    </w:rPr>
  </w:style>
  <w:style w:type="character" w:styleId="1208" w:customStyle="1">
    <w:name w:val="Font Style112"/>
    <w:uiPriority w:val="99"/>
    <w:pPr>
      <w:pBdr/>
      <w:spacing/>
      <w:ind/>
    </w:pPr>
    <w:rPr>
      <w:rFonts w:ascii="Arial" w:hAnsi="Arial" w:cs="Arial"/>
      <w:sz w:val="22"/>
      <w:szCs w:val="22"/>
    </w:rPr>
  </w:style>
  <w:style w:type="paragraph" w:styleId="1209" w:customStyle="1">
    <w:name w:val="Style44"/>
    <w:basedOn w:val="948"/>
    <w:uiPriority w:val="99"/>
    <w:pPr>
      <w:pBdr/>
      <w:spacing w:line="374" w:lineRule="exact"/>
      <w:ind w:firstLine="0"/>
      <w:jc w:val="left"/>
    </w:pPr>
    <w:rPr>
      <w:rFonts w:ascii="Arial" w:hAnsi="Arial" w:cs="Arial"/>
      <w:sz w:val="24"/>
      <w:szCs w:val="24"/>
    </w:rPr>
  </w:style>
  <w:style w:type="paragraph" w:styleId="1210" w:customStyle="1">
    <w:name w:val="Style53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styleId="1211" w:customStyle="1">
    <w:name w:val="Style8"/>
    <w:basedOn w:val="948"/>
    <w:uiPriority w:val="99"/>
    <w:pPr>
      <w:pBdr/>
      <w:spacing w:line="278" w:lineRule="exact"/>
      <w:ind w:firstLine="0"/>
    </w:pPr>
    <w:rPr>
      <w:rFonts w:ascii="Arial" w:hAnsi="Arial" w:cs="Arial"/>
      <w:sz w:val="24"/>
      <w:szCs w:val="24"/>
    </w:rPr>
  </w:style>
  <w:style w:type="paragraph" w:styleId="1212" w:customStyle="1">
    <w:name w:val="Style26"/>
    <w:basedOn w:val="948"/>
    <w:uiPriority w:val="99"/>
    <w:pPr>
      <w:pBdr/>
      <w:spacing w:line="414" w:lineRule="exact"/>
      <w:ind w:firstLine="542"/>
    </w:pPr>
    <w:rPr>
      <w:rFonts w:ascii="Arial" w:hAnsi="Arial" w:cs="Arial"/>
      <w:sz w:val="24"/>
      <w:szCs w:val="24"/>
    </w:rPr>
  </w:style>
  <w:style w:type="paragraph" w:styleId="1213" w:customStyle="1">
    <w:name w:val="Style83"/>
    <w:basedOn w:val="948"/>
    <w:uiPriority w:val="99"/>
    <w:pPr>
      <w:pBdr/>
      <w:spacing w:line="826" w:lineRule="exact"/>
      <w:ind w:firstLine="1637"/>
      <w:jc w:val="left"/>
    </w:pPr>
    <w:rPr>
      <w:rFonts w:ascii="Arial" w:hAnsi="Arial" w:cs="Arial"/>
      <w:sz w:val="24"/>
      <w:szCs w:val="24"/>
    </w:rPr>
  </w:style>
  <w:style w:type="character" w:styleId="1214" w:customStyle="1">
    <w:name w:val="Font Style113"/>
    <w:uiPriority w:val="99"/>
    <w:pPr>
      <w:pBdr/>
      <w:spacing/>
      <w:ind/>
    </w:pPr>
    <w:rPr>
      <w:rFonts w:ascii="Arial" w:hAnsi="Arial" w:cs="Arial"/>
      <w:b/>
      <w:bCs/>
      <w:sz w:val="22"/>
      <w:szCs w:val="22"/>
    </w:rPr>
  </w:style>
  <w:style w:type="character" w:styleId="1215" w:customStyle="1">
    <w:name w:val="Font Style114"/>
    <w:uiPriority w:val="99"/>
    <w:pPr>
      <w:pBdr/>
      <w:spacing/>
      <w:ind/>
    </w:pPr>
    <w:rPr>
      <w:rFonts w:ascii="Arial" w:hAnsi="Arial" w:cs="Arial"/>
      <w:sz w:val="22"/>
      <w:szCs w:val="22"/>
    </w:rPr>
  </w:style>
  <w:style w:type="character" w:styleId="1216" w:customStyle="1">
    <w:name w:val="Font Style115"/>
    <w:uiPriority w:val="99"/>
    <w:pPr>
      <w:pBdr/>
      <w:spacing/>
      <w:ind/>
    </w:pPr>
    <w:rPr>
      <w:rFonts w:ascii="Arial" w:hAnsi="Arial" w:cs="Arial"/>
      <w:i/>
      <w:iCs/>
      <w:sz w:val="22"/>
      <w:szCs w:val="22"/>
    </w:rPr>
  </w:style>
  <w:style w:type="paragraph" w:styleId="1217" w:customStyle="1">
    <w:name w:val="Style37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styleId="1218" w:customStyle="1">
    <w:name w:val="Style42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styleId="1219" w:customStyle="1">
    <w:name w:val="Style70"/>
    <w:basedOn w:val="948"/>
    <w:uiPriority w:val="99"/>
    <w:pPr>
      <w:pBdr/>
      <w:spacing w:line="379" w:lineRule="exact"/>
      <w:ind w:firstLine="0"/>
    </w:pPr>
    <w:rPr>
      <w:rFonts w:ascii="Arial" w:hAnsi="Arial" w:cs="Arial"/>
      <w:sz w:val="24"/>
      <w:szCs w:val="24"/>
    </w:rPr>
  </w:style>
  <w:style w:type="paragraph" w:styleId="1220" w:customStyle="1">
    <w:name w:val="Style85"/>
    <w:basedOn w:val="948"/>
    <w:uiPriority w:val="99"/>
    <w:pPr>
      <w:pBdr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styleId="1221" w:customStyle="1">
    <w:name w:val="Font Style110"/>
    <w:uiPriority w:val="99"/>
    <w:pPr>
      <w:pBdr/>
      <w:spacing/>
      <w:ind/>
    </w:pPr>
    <w:rPr>
      <w:rFonts w:ascii="Arial" w:hAnsi="Arial" w:cs="Arial"/>
      <w:i/>
      <w:iCs/>
      <w:spacing w:val="30"/>
      <w:sz w:val="22"/>
      <w:szCs w:val="22"/>
    </w:rPr>
  </w:style>
  <w:style w:type="paragraph" w:styleId="1222" w:customStyle="1">
    <w:name w:val="Style16"/>
    <w:basedOn w:val="948"/>
    <w:uiPriority w:val="99"/>
    <w:pPr>
      <w:pBdr/>
      <w:spacing w:line="240" w:lineRule="auto"/>
      <w:ind w:firstLine="0"/>
    </w:pPr>
    <w:rPr>
      <w:rFonts w:ascii="Arial" w:hAnsi="Arial" w:cs="Arial"/>
      <w:sz w:val="24"/>
      <w:szCs w:val="24"/>
    </w:rPr>
  </w:style>
  <w:style w:type="paragraph" w:styleId="1223" w:customStyle="1">
    <w:name w:val="Style35"/>
    <w:basedOn w:val="948"/>
    <w:uiPriority w:val="99"/>
    <w:pPr>
      <w:pBdr/>
      <w:spacing w:line="533" w:lineRule="exact"/>
      <w:ind w:firstLine="2770"/>
      <w:jc w:val="left"/>
    </w:pPr>
    <w:rPr>
      <w:rFonts w:ascii="Arial" w:hAnsi="Arial" w:cs="Arial"/>
      <w:sz w:val="24"/>
      <w:szCs w:val="24"/>
    </w:rPr>
  </w:style>
  <w:style w:type="character" w:styleId="1224" w:customStyle="1">
    <w:name w:val="Font Style93"/>
    <w:uiPriority w:val="99"/>
    <w:pPr>
      <w:pBdr/>
      <w:spacing/>
      <w:ind/>
    </w:pPr>
    <w:rPr>
      <w:rFonts w:ascii="Arial" w:hAnsi="Arial" w:cs="Arial"/>
      <w:sz w:val="16"/>
      <w:szCs w:val="16"/>
    </w:rPr>
  </w:style>
  <w:style w:type="character" w:styleId="1225" w:customStyle="1">
    <w:name w:val="Font Style106"/>
    <w:uiPriority w:val="99"/>
    <w:pPr>
      <w:pBdr/>
      <w:spacing/>
      <w:ind/>
    </w:pPr>
    <w:rPr>
      <w:rFonts w:ascii="Arial" w:hAnsi="Arial" w:cs="Arial"/>
      <w:i/>
      <w:iCs/>
      <w:sz w:val="18"/>
      <w:szCs w:val="18"/>
    </w:rPr>
  </w:style>
  <w:style w:type="character" w:styleId="1226" w:customStyle="1">
    <w:name w:val="Font Style105"/>
    <w:uiPriority w:val="99"/>
    <w:pPr>
      <w:pBdr/>
      <w:spacing/>
      <w:ind/>
    </w:pPr>
    <w:rPr>
      <w:rFonts w:ascii="Arial" w:hAnsi="Arial" w:cs="Arial"/>
      <w:sz w:val="18"/>
      <w:szCs w:val="18"/>
    </w:rPr>
  </w:style>
  <w:style w:type="paragraph" w:styleId="1227" w:customStyle="1">
    <w:name w:val="Style74"/>
    <w:basedOn w:val="948"/>
    <w:uiPriority w:val="99"/>
    <w:pPr>
      <w:pBdr/>
      <w:spacing w:line="533" w:lineRule="exact"/>
      <w:ind w:firstLine="2904"/>
      <w:jc w:val="left"/>
    </w:pPr>
    <w:rPr>
      <w:rFonts w:ascii="Arial" w:hAnsi="Arial" w:cs="Arial"/>
      <w:sz w:val="24"/>
      <w:szCs w:val="24"/>
    </w:rPr>
  </w:style>
  <w:style w:type="character" w:styleId="1228" w:customStyle="1">
    <w:name w:val="Font Style96"/>
    <w:uiPriority w:val="99"/>
    <w:pPr>
      <w:pBdr/>
      <w:spacing/>
      <w:ind/>
    </w:pPr>
    <w:rPr>
      <w:rFonts w:ascii="Times New Roman" w:hAnsi="Times New Roman" w:cs="Times New Roman"/>
      <w:i/>
      <w:iCs/>
      <w:spacing w:val="20"/>
      <w:sz w:val="20"/>
      <w:szCs w:val="20"/>
    </w:rPr>
  </w:style>
  <w:style w:type="paragraph" w:styleId="1229" w:customStyle="1">
    <w:name w:val="Style50"/>
    <w:basedOn w:val="948"/>
    <w:uiPriority w:val="99"/>
    <w:pPr>
      <w:pBdr/>
      <w:spacing w:line="380" w:lineRule="exact"/>
      <w:ind w:firstLine="543"/>
    </w:pPr>
    <w:rPr>
      <w:rFonts w:ascii="Arial" w:hAnsi="Arial" w:cs="Arial"/>
      <w:sz w:val="24"/>
      <w:szCs w:val="24"/>
    </w:rPr>
  </w:style>
  <w:style w:type="paragraph" w:styleId="1230" w:customStyle="1">
    <w:name w:val="Style43"/>
    <w:basedOn w:val="948"/>
    <w:uiPriority w:val="99"/>
    <w:pPr>
      <w:pBdr/>
      <w:spacing w:line="394" w:lineRule="exact"/>
      <w:ind w:hanging="125"/>
      <w:jc w:val="left"/>
    </w:pPr>
    <w:rPr>
      <w:rFonts w:ascii="Arial" w:hAnsi="Arial" w:cs="Arial"/>
      <w:sz w:val="24"/>
      <w:szCs w:val="24"/>
    </w:rPr>
  </w:style>
  <w:style w:type="paragraph" w:styleId="1231" w:customStyle="1">
    <w:name w:val="Style59"/>
    <w:basedOn w:val="948"/>
    <w:uiPriority w:val="99"/>
    <w:pPr>
      <w:pBdr/>
      <w:spacing w:line="418" w:lineRule="exact"/>
      <w:ind w:hanging="3571"/>
      <w:jc w:val="left"/>
    </w:pPr>
    <w:rPr>
      <w:rFonts w:ascii="Arial" w:hAnsi="Arial" w:cs="Arial"/>
      <w:sz w:val="24"/>
      <w:szCs w:val="24"/>
    </w:rPr>
  </w:style>
  <w:style w:type="paragraph" w:styleId="1232" w:customStyle="1">
    <w:name w:val="Style2"/>
    <w:basedOn w:val="948"/>
    <w:uiPriority w:val="99"/>
    <w:pPr>
      <w:pBdr/>
      <w:spacing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styleId="1233" w:customStyle="1">
    <w:name w:val="Style72"/>
    <w:basedOn w:val="948"/>
    <w:uiPriority w:val="99"/>
    <w:pPr>
      <w:pBdr/>
      <w:spacing w:line="413" w:lineRule="exact"/>
      <w:ind w:firstLine="523"/>
    </w:pPr>
    <w:rPr>
      <w:rFonts w:ascii="Arial" w:hAnsi="Arial" w:cs="Arial"/>
      <w:sz w:val="24"/>
      <w:szCs w:val="24"/>
    </w:rPr>
  </w:style>
  <w:style w:type="paragraph" w:styleId="1234">
    <w:name w:val="Plain Text"/>
    <w:basedOn w:val="948"/>
    <w:link w:val="1235"/>
    <w:uiPriority w:val="99"/>
    <w:semiHidden/>
    <w:unhideWhenUsed/>
    <w:pPr>
      <w:widowControl w:val="true"/>
      <w:pBdr/>
      <w:spacing w:line="240" w:lineRule="auto"/>
      <w:ind w:firstLine="0"/>
      <w:jc w:val="left"/>
    </w:pPr>
    <w:rPr>
      <w:rFonts w:ascii="Calibri" w:hAnsi="Calibri"/>
      <w:sz w:val="22"/>
      <w:szCs w:val="21"/>
    </w:rPr>
  </w:style>
  <w:style w:type="character" w:styleId="1235" w:customStyle="1">
    <w:name w:val="Текст Знак"/>
    <w:link w:val="1234"/>
    <w:uiPriority w:val="99"/>
    <w:semiHidden/>
    <w:pPr>
      <w:pBdr/>
      <w:spacing/>
      <w:ind/>
    </w:pPr>
    <w:rPr>
      <w:rFonts w:ascii="Calibri" w:hAnsi="Calibri"/>
      <w:sz w:val="22"/>
      <w:szCs w:val="21"/>
    </w:rPr>
  </w:style>
  <w:style w:type="paragraph" w:styleId="1236" w:customStyle="1">
    <w:name w:val="Обычный1"/>
    <w:pPr>
      <w:pBdr/>
      <w:spacing w:line="480" w:lineRule="auto"/>
      <w:ind w:firstLine="720"/>
    </w:pPr>
    <w:rPr>
      <w:rFonts w:ascii="Arial" w:hAnsi="Arial"/>
      <w:sz w:val="24"/>
    </w:rPr>
  </w:style>
  <w:style w:type="paragraph" w:styleId="1237" w:customStyle="1">
    <w:name w:val="formattext topleveltext"/>
    <w:basedOn w:val="948"/>
    <w:uiPriority w:val="99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sz w:val="24"/>
      <w:szCs w:val="24"/>
    </w:rPr>
  </w:style>
  <w:style w:type="character" w:styleId="1238" w:customStyle="1">
    <w:name w:val="Основной текст (2) + 7;5 pt"/>
    <w:pPr>
      <w:pBdr/>
      <w:spacing/>
      <w:ind/>
    </w:pPr>
    <w:rPr>
      <w:rFonts w:ascii="Arial" w:hAnsi="Arial" w:eastAsia="Arial" w:cs="Arial"/>
      <w:color w:val="000000"/>
      <w:spacing w:val="0"/>
      <w:position w:val="0"/>
      <w:sz w:val="15"/>
      <w:szCs w:val="15"/>
      <w:shd w:val="clear" w:color="auto" w:fill="ffffff"/>
      <w:lang w:val="ru-RU" w:eastAsia="ru-RU" w:bidi="ru-RU"/>
    </w:rPr>
  </w:style>
  <w:style w:type="character" w:styleId="1239" w:customStyle="1">
    <w:name w:val="s0"/>
    <w:pPr>
      <w:pBdr/>
      <w:spacing/>
      <w:ind/>
    </w:pPr>
    <w:rPr>
      <w:rFonts w:hint="default" w:ascii="Times New Roman" w:hAnsi="Times New Roman" w:cs="Times New Roman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1240" w:customStyle="1">
    <w:name w:val="Абзац списка1"/>
    <w:basedOn w:val="948"/>
    <w:qFormat/>
    <w:pPr>
      <w:widowControl w:val="true"/>
      <w:pBdr/>
      <w:spacing w:after="200" w:line="276" w:lineRule="auto"/>
      <w:ind w:firstLine="0" w:left="720"/>
      <w:jc w:val="left"/>
    </w:pPr>
    <w:rPr>
      <w:rFonts w:ascii="Calibri" w:hAnsi="Calibri"/>
      <w:sz w:val="22"/>
      <w:szCs w:val="22"/>
      <w:lang w:eastAsia="en-US"/>
    </w:rPr>
  </w:style>
  <w:style w:type="paragraph" w:styleId="1241" w:customStyle="1">
    <w:name w:val="ConsPlusNormal"/>
    <w:pPr>
      <w:widowControl w:val="false"/>
      <w:pBdr/>
      <w:spacing/>
      <w:ind w:firstLine="720"/>
    </w:pPr>
    <w:rPr>
      <w:rFonts w:ascii="Arial" w:hAnsi="Arial" w:eastAsia="Calibri" w:cs="Arial"/>
    </w:rPr>
  </w:style>
  <w:style w:type="character" w:styleId="1242" w:customStyle="1">
    <w:name w:val="Основной текст (2)_"/>
    <w:link w:val="1243"/>
    <w:uiPriority w:val="99"/>
    <w:pPr>
      <w:pBdr/>
      <w:spacing/>
      <w:ind/>
    </w:pPr>
    <w:rPr>
      <w:rFonts w:ascii="Arial" w:hAnsi="Arial" w:cs="Arial"/>
      <w:spacing w:val="-10"/>
      <w:sz w:val="18"/>
      <w:szCs w:val="18"/>
      <w:shd w:val="clear" w:color="auto" w:fill="ffffff"/>
    </w:rPr>
  </w:style>
  <w:style w:type="paragraph" w:styleId="1243" w:customStyle="1">
    <w:name w:val="Основной текст (2)1"/>
    <w:basedOn w:val="948"/>
    <w:link w:val="1242"/>
    <w:uiPriority w:val="99"/>
    <w:pPr>
      <w:pBdr/>
      <w:shd w:val="clear" w:color="auto" w:fill="ffffff"/>
      <w:spacing w:line="468" w:lineRule="exact"/>
      <w:ind w:hanging="1680"/>
      <w:jc w:val="center"/>
    </w:pPr>
    <w:rPr>
      <w:rFonts w:ascii="Arial" w:hAnsi="Arial"/>
      <w:spacing w:val="-10"/>
      <w:sz w:val="18"/>
      <w:szCs w:val="18"/>
    </w:rPr>
  </w:style>
  <w:style w:type="paragraph" w:styleId="1244">
    <w:name w:val="Revision"/>
    <w:hidden/>
    <w:uiPriority w:val="99"/>
    <w:semiHidden/>
    <w:pPr>
      <w:pBdr/>
      <w:spacing/>
      <w:ind/>
    </w:pPr>
    <w:rPr>
      <w:sz w:val="28"/>
    </w:rPr>
  </w:style>
  <w:style w:type="paragraph" w:styleId="1245">
    <w:name w:val="Normal (Web)"/>
    <w:basedOn w:val="948"/>
    <w:uiPriority w:val="99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rFonts w:eastAsia="Calibri"/>
      <w:sz w:val="24"/>
      <w:szCs w:val="24"/>
    </w:rPr>
  </w:style>
  <w:style w:type="paragraph" w:styleId="1246" w:customStyle="1">
    <w:name w:val=".FORMATTEXT"/>
    <w:uiPriority w:val="99"/>
    <w:pPr>
      <w:widowControl w:val="false"/>
      <w:pBdr/>
      <w:spacing/>
      <w:ind/>
    </w:pPr>
    <w:rPr>
      <w:sz w:val="24"/>
      <w:szCs w:val="24"/>
    </w:rPr>
  </w:style>
  <w:style w:type="paragraph" w:styleId="1247" w:customStyle="1">
    <w:name w:val="."/>
    <w:uiPriority w:val="99"/>
    <w:pPr>
      <w:widowControl w:val="false"/>
      <w:pBdr/>
      <w:spacing/>
      <w:ind/>
    </w:pPr>
    <w:rPr>
      <w:sz w:val="24"/>
      <w:szCs w:val="24"/>
    </w:rPr>
  </w:style>
  <w:style w:type="paragraph" w:styleId="1248" w:customStyle="1">
    <w:name w:val=".HEADERTEXT"/>
    <w:uiPriority w:val="99"/>
    <w:pPr>
      <w:widowControl w:val="false"/>
      <w:pBdr/>
      <w:spacing/>
      <w:ind/>
    </w:pPr>
    <w:rPr>
      <w:color w:val="2b4279"/>
      <w:sz w:val="24"/>
      <w:szCs w:val="24"/>
    </w:rPr>
  </w:style>
  <w:style w:type="character" w:styleId="1249" w:customStyle="1">
    <w:name w:val="tlid-translation"/>
    <w:pPr>
      <w:pBdr/>
      <w:spacing/>
      <w:ind/>
    </w:pPr>
  </w:style>
  <w:style w:type="paragraph" w:styleId="1250" w:customStyle="1">
    <w:name w:val="formattext"/>
    <w:basedOn w:val="948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sz w:val="24"/>
      <w:szCs w:val="24"/>
    </w:rPr>
  </w:style>
  <w:style w:type="character" w:styleId="1251" w:customStyle="1">
    <w:name w:val="Неразрешенное упоминание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252">
    <w:name w:val="HTML Preformatted"/>
    <w:basedOn w:val="948"/>
    <w:link w:val="1253"/>
    <w:uiPriority w:val="99"/>
    <w:unhideWhenUsed/>
    <w:pPr>
      <w:widowControl w:val="true"/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styleId="1253" w:customStyle="1">
    <w:name w:val="Стандартный HTML Знак"/>
    <w:link w:val="1252"/>
    <w:uiPriority w:val="99"/>
    <w:pPr>
      <w:pBdr/>
      <w:spacing/>
      <w:ind/>
    </w:pPr>
    <w:rPr>
      <w:rFonts w:ascii="Courier New" w:hAnsi="Courier New" w:cs="Courier New"/>
    </w:rPr>
  </w:style>
  <w:style w:type="character" w:styleId="1254" w:customStyle="1">
    <w:name w:val="extended-text__short"/>
    <w:pPr>
      <w:pBdr/>
      <w:spacing/>
      <w:ind/>
    </w:pPr>
  </w:style>
  <w:style w:type="paragraph" w:styleId="1255" w:customStyle="1">
    <w:name w:val="topleveltext"/>
    <w:basedOn w:val="948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sz w:val="24"/>
      <w:szCs w:val="24"/>
    </w:rPr>
  </w:style>
  <w:style w:type="character" w:styleId="1256" w:customStyle="1">
    <w:name w:val="Font Style38"/>
    <w:uiPriority w:val="99"/>
    <w:pPr>
      <w:pBdr/>
      <w:spacing/>
      <w:ind/>
    </w:pPr>
    <w:rPr>
      <w:rFonts w:ascii="Arial" w:hAnsi="Arial" w:cs="Arial"/>
      <w:sz w:val="16"/>
      <w:szCs w:val="16"/>
    </w:rPr>
  </w:style>
  <w:style w:type="character" w:styleId="1257" w:customStyle="1">
    <w:name w:val="w"/>
    <w:basedOn w:val="958"/>
    <w:pPr>
      <w:pBdr/>
      <w:spacing/>
      <w:ind/>
    </w:pPr>
  </w:style>
  <w:style w:type="character" w:styleId="1258">
    <w:name w:val="FollowedHyperlink"/>
    <w:basedOn w:val="9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259">
    <w:name w:val="Body Text"/>
    <w:basedOn w:val="948"/>
    <w:link w:val="1260"/>
    <w:semiHidden/>
    <w:unhideWhenUsed/>
    <w:pPr>
      <w:widowControl w:val="true"/>
      <w:pBdr/>
      <w:spacing w:after="120" w:line="240" w:lineRule="auto"/>
      <w:ind w:firstLine="0"/>
      <w:jc w:val="left"/>
    </w:pPr>
    <w:rPr>
      <w:sz w:val="24"/>
    </w:rPr>
  </w:style>
  <w:style w:type="character" w:styleId="1260" w:customStyle="1">
    <w:name w:val="Основной текст Знак"/>
    <w:basedOn w:val="958"/>
    <w:link w:val="1259"/>
    <w:semiHidden/>
    <w:pPr>
      <w:pBdr/>
      <w:spacing/>
      <w:ind/>
    </w:pPr>
    <w:rPr>
      <w:sz w:val="24"/>
    </w:rPr>
  </w:style>
  <w:style w:type="paragraph" w:styleId="1261">
    <w:name w:val="Body Text Indent"/>
    <w:basedOn w:val="948"/>
    <w:link w:val="1262"/>
    <w:uiPriority w:val="99"/>
    <w:semiHidden/>
    <w:unhideWhenUsed/>
    <w:pPr>
      <w:pBdr/>
      <w:spacing w:after="120"/>
      <w:ind w:left="283"/>
    </w:pPr>
  </w:style>
  <w:style w:type="character" w:styleId="1262" w:customStyle="1">
    <w:name w:val="Основной текст с отступом Знак"/>
    <w:basedOn w:val="958"/>
    <w:link w:val="1261"/>
    <w:uiPriority w:val="99"/>
    <w:semiHidden/>
    <w:pPr>
      <w:pBdr/>
      <w:spacing/>
      <w:ind/>
    </w:pPr>
    <w:rPr>
      <w:sz w:val="28"/>
    </w:rPr>
  </w:style>
  <w:style w:type="character" w:styleId="1263" w:customStyle="1">
    <w:name w:val="textblue"/>
    <w:basedOn w:val="958"/>
    <w:pPr>
      <w:pBdr/>
      <w:spacing/>
      <w:ind/>
    </w:pPr>
  </w:style>
  <w:style w:type="character" w:styleId="1264" w:customStyle="1">
    <w:name w:val="text12grey"/>
    <w:basedOn w:val="958"/>
    <w:pPr>
      <w:pBdr/>
      <w:spacing/>
      <w:ind/>
    </w:pPr>
  </w:style>
  <w:style w:type="paragraph" w:styleId="1265" w:customStyle="1">
    <w:name w:val="Основной текст (2)"/>
    <w:basedOn w:val="948"/>
    <w:uiPriority w:val="99"/>
    <w:pPr>
      <w:pBdr/>
      <w:shd w:val="clear" w:color="auto" w:fill="ffffff"/>
      <w:spacing w:before="480" w:line="298" w:lineRule="exact"/>
      <w:ind w:firstLine="0"/>
    </w:pPr>
    <w:rPr>
      <w:rFonts w:ascii="Arial" w:hAnsi="Arial" w:cs="Arial"/>
      <w:sz w:val="30"/>
      <w:szCs w:val="30"/>
    </w:rPr>
  </w:style>
  <w:style w:type="character" w:styleId="1266" w:customStyle="1">
    <w:name w:val="Неразрешенное упоминание2"/>
    <w:basedOn w:val="95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267" w:customStyle="1">
    <w:name w:val="headertext"/>
    <w:basedOn w:val="948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sz w:val="24"/>
      <w:szCs w:val="24"/>
    </w:rPr>
  </w:style>
  <w:style w:type="character" w:styleId="1268">
    <w:name w:val="Placeholder Text"/>
    <w:basedOn w:val="958"/>
    <w:uiPriority w:val="99"/>
    <w:semiHidden/>
    <w:pPr>
      <w:pBdr/>
      <w:spacing/>
      <w:ind/>
    </w:pPr>
    <w:rPr>
      <w:color w:val="808080"/>
    </w:rPr>
  </w:style>
  <w:style w:type="character" w:styleId="1269" w:customStyle="1">
    <w:name w:val="match"/>
    <w:basedOn w:val="958"/>
    <w:pPr>
      <w:pBdr/>
      <w:spacing/>
      <w:ind/>
    </w:pPr>
  </w:style>
  <w:style w:type="character" w:styleId="1270" w:customStyle="1">
    <w:name w:val="cf01"/>
    <w:basedOn w:val="958"/>
    <w:pPr>
      <w:pBdr/>
      <w:spacing/>
      <w:ind/>
    </w:pPr>
    <w:rPr>
      <w:rFonts w:hint="default" w:ascii="Segoe UI" w:hAnsi="Segoe UI" w:cs="Segoe UI"/>
      <w:sz w:val="18"/>
      <w:szCs w:val="18"/>
    </w:rPr>
  </w:style>
  <w:style w:type="paragraph" w:styleId="1271" w:customStyle="1">
    <w:name w:val="pf0"/>
    <w:basedOn w:val="948"/>
    <w:pPr>
      <w:widowControl w:val="true"/>
      <w:pBdr/>
      <w:spacing w:after="100" w:afterAutospacing="1" w:before="100" w:beforeAutospacing="1" w:line="240" w:lineRule="auto"/>
      <w:ind w:firstLine="0"/>
      <w:jc w:val="left"/>
    </w:pPr>
    <w:rPr>
      <w:sz w:val="24"/>
      <w:szCs w:val="24"/>
    </w:rPr>
  </w:style>
  <w:style w:type="paragraph" w:styleId="1272" w:customStyle="1">
    <w:name w:val="Стиль1"/>
    <w:basedOn w:val="948"/>
    <w:link w:val="1274"/>
    <w:qFormat/>
    <w:pPr>
      <w:widowControl w:val="true"/>
      <w:pBdr/>
      <w:spacing w:after="60" w:before="120"/>
      <w:ind/>
      <w:contextualSpacing w:val="true"/>
    </w:pPr>
    <w:rPr>
      <w:rFonts w:ascii="Arial" w:hAnsi="Arial" w:cs="Arial"/>
      <w:b/>
      <w:bCs/>
      <w:sz w:val="24"/>
      <w:szCs w:val="24"/>
    </w:rPr>
  </w:style>
  <w:style w:type="paragraph" w:styleId="1273" w:customStyle="1">
    <w:name w:val="Стиль2"/>
    <w:basedOn w:val="948"/>
    <w:link w:val="1276"/>
    <w:qFormat/>
    <w:pPr>
      <w:widowControl w:val="true"/>
      <w:pBdr/>
      <w:spacing w:after="60" w:before="120"/>
      <w:ind/>
      <w:contextualSpacing w:val="true"/>
    </w:pPr>
    <w:rPr>
      <w:rFonts w:ascii="Arial" w:hAnsi="Arial" w:cs="Arial"/>
      <w:b/>
      <w:bCs/>
      <w:sz w:val="24"/>
      <w:szCs w:val="24"/>
    </w:rPr>
  </w:style>
  <w:style w:type="character" w:styleId="1274" w:customStyle="1">
    <w:name w:val="Стиль1 Знак"/>
    <w:basedOn w:val="958"/>
    <w:link w:val="1272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75" w:customStyle="1">
    <w:name w:val="Стиль3"/>
    <w:basedOn w:val="948"/>
    <w:link w:val="1278"/>
    <w:qFormat/>
    <w:pPr>
      <w:widowControl w:val="true"/>
      <w:pBdr/>
      <w:spacing/>
      <w:ind/>
      <w:contextualSpacing w:val="true"/>
    </w:pPr>
    <w:rPr>
      <w:rFonts w:ascii="Arial" w:hAnsi="Arial" w:cs="Arial"/>
      <w:b/>
      <w:bCs/>
      <w:sz w:val="24"/>
      <w:szCs w:val="24"/>
    </w:rPr>
  </w:style>
  <w:style w:type="character" w:styleId="1276" w:customStyle="1">
    <w:name w:val="Стиль2 Знак"/>
    <w:basedOn w:val="958"/>
    <w:link w:val="1273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77" w:customStyle="1">
    <w:name w:val="Стиль4"/>
    <w:basedOn w:val="1275"/>
    <w:link w:val="1280"/>
    <w:qFormat/>
    <w:pPr>
      <w:pBdr/>
      <w:spacing w:after="60" w:before="120"/>
      <w:ind/>
    </w:pPr>
  </w:style>
  <w:style w:type="character" w:styleId="1278" w:customStyle="1">
    <w:name w:val="Стиль3 Знак"/>
    <w:basedOn w:val="958"/>
    <w:link w:val="1275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79" w:customStyle="1">
    <w:name w:val="Стиль5"/>
    <w:basedOn w:val="948"/>
    <w:link w:val="1282"/>
    <w:qFormat/>
    <w:pPr>
      <w:pBdr/>
      <w:spacing/>
      <w:ind/>
    </w:pPr>
    <w:rPr>
      <w:rFonts w:ascii="Arial" w:hAnsi="Arial" w:cs="Arial"/>
      <w:b/>
      <w:bCs/>
      <w:sz w:val="24"/>
      <w:szCs w:val="24"/>
    </w:rPr>
  </w:style>
  <w:style w:type="character" w:styleId="1280" w:customStyle="1">
    <w:name w:val="Стиль4 Знак"/>
    <w:basedOn w:val="1278"/>
    <w:link w:val="1277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81" w:customStyle="1">
    <w:name w:val="Стиль6"/>
    <w:basedOn w:val="1279"/>
    <w:link w:val="1284"/>
    <w:qFormat/>
    <w:pPr>
      <w:pBdr/>
      <w:spacing w:after="60" w:before="120"/>
      <w:ind/>
    </w:pPr>
  </w:style>
  <w:style w:type="character" w:styleId="1282" w:customStyle="1">
    <w:name w:val="Стиль5 Знак"/>
    <w:basedOn w:val="958"/>
    <w:link w:val="1279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83" w:customStyle="1">
    <w:name w:val="Стиль7"/>
    <w:basedOn w:val="948"/>
    <w:link w:val="1286"/>
    <w:qFormat/>
    <w:pPr>
      <w:widowControl w:val="true"/>
      <w:pBdr/>
      <w:spacing w:after="60" w:before="120"/>
      <w:ind/>
      <w:contextualSpacing w:val="true"/>
    </w:pPr>
    <w:rPr>
      <w:rFonts w:ascii="Arial" w:hAnsi="Arial" w:cs="Arial"/>
      <w:b/>
      <w:bCs/>
      <w:sz w:val="24"/>
      <w:szCs w:val="24"/>
    </w:rPr>
  </w:style>
  <w:style w:type="character" w:styleId="1284" w:customStyle="1">
    <w:name w:val="Стиль6 Знак"/>
    <w:basedOn w:val="1282"/>
    <w:link w:val="1281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85" w:customStyle="1">
    <w:name w:val="Стиль8"/>
    <w:basedOn w:val="948"/>
    <w:link w:val="1288"/>
    <w:qFormat/>
    <w:pPr>
      <w:widowControl w:val="true"/>
      <w:pBdr/>
      <w:spacing w:after="60" w:before="120"/>
      <w:ind/>
      <w:contextualSpacing w:val="true"/>
    </w:pPr>
    <w:rPr>
      <w:rFonts w:ascii="Arial" w:hAnsi="Arial" w:cs="Arial"/>
      <w:b/>
      <w:bCs/>
      <w:sz w:val="24"/>
      <w:szCs w:val="24"/>
    </w:rPr>
  </w:style>
  <w:style w:type="character" w:styleId="1286" w:customStyle="1">
    <w:name w:val="Стиль7 Знак"/>
    <w:basedOn w:val="958"/>
    <w:link w:val="1283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87" w:customStyle="1">
    <w:name w:val="Стиль9"/>
    <w:basedOn w:val="948"/>
    <w:link w:val="1289"/>
    <w:qFormat/>
    <w:pPr>
      <w:widowControl w:val="true"/>
      <w:pBdr/>
      <w:spacing w:after="60" w:before="120"/>
      <w:ind/>
      <w:contextualSpacing w:val="true"/>
    </w:pPr>
    <w:rPr>
      <w:rFonts w:ascii="Arial" w:hAnsi="Arial" w:cs="Arial"/>
      <w:b/>
      <w:bCs/>
      <w:sz w:val="24"/>
      <w:szCs w:val="24"/>
    </w:rPr>
  </w:style>
  <w:style w:type="character" w:styleId="1288" w:customStyle="1">
    <w:name w:val="Стиль8 Знак"/>
    <w:basedOn w:val="958"/>
    <w:link w:val="1285"/>
    <w:pPr>
      <w:pBdr/>
      <w:spacing/>
      <w:ind/>
    </w:pPr>
    <w:rPr>
      <w:rFonts w:ascii="Arial" w:hAnsi="Arial" w:cs="Arial"/>
      <w:b/>
      <w:bCs/>
      <w:sz w:val="24"/>
      <w:szCs w:val="24"/>
    </w:rPr>
  </w:style>
  <w:style w:type="character" w:styleId="1289" w:customStyle="1">
    <w:name w:val="Стиль9 Знак"/>
    <w:basedOn w:val="958"/>
    <w:link w:val="1287"/>
    <w:pPr>
      <w:pBdr/>
      <w:spacing/>
      <w:ind/>
    </w:pPr>
    <w:rPr>
      <w:rFonts w:ascii="Arial" w:hAnsi="Arial" w:cs="Arial"/>
      <w:b/>
      <w:bCs/>
      <w:sz w:val="24"/>
      <w:szCs w:val="24"/>
    </w:rPr>
  </w:style>
  <w:style w:type="paragraph" w:styleId="1290" w:customStyle="1">
    <w:name w:val="Заголовок 11"/>
    <w:qFormat/>
    <w:pPr>
      <w:keepNext w:val="true"/>
      <w:keepLines w:val="true"/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360" w:lineRule="auto"/>
      <w:ind w:left="-282"/>
      <w:jc w:val="both"/>
      <w:outlineLvl w:val="0"/>
    </w:pPr>
    <w:rPr>
      <w:b/>
      <w:bCs/>
      <w:sz w:val="28"/>
      <w:szCs w:val="32"/>
      <w:lang w:val="en-US" w:eastAsia="en-US"/>
    </w:rPr>
  </w:style>
  <w:style w:type="paragraph" w:styleId="1291" w:customStyle="1">
    <w:name w:val="Текст примечания1"/>
    <w:uiPriority w:val="99"/>
    <w:unhideWhenUsed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360" w:lineRule="auto"/>
      <w:ind w:firstLine="709"/>
      <w:jc w:val="both"/>
    </w:pPr>
  </w:style>
  <w:style w:type="paragraph" w:styleId="1292" w:customStyle="1">
    <w:name w:val="Заголовок 21"/>
    <w:unhideWhenUsed/>
    <w:qFormat/>
    <w:pPr>
      <w:keepNext w:val="true"/>
      <w:keepLines w:val="true"/>
      <w:widowControl w:val="false"/>
      <w:numPr>
        <w:ilvl w:val="1"/>
      </w:num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360" w:lineRule="auto"/>
      <w:ind w:hanging="709" w:left="3687"/>
      <w:jc w:val="both"/>
      <w:outlineLvl w:val="1"/>
    </w:pPr>
    <w:rPr>
      <w:b/>
      <w:bCs/>
      <w:sz w:val="28"/>
      <w:szCs w:val="32"/>
      <w:lang w:val="en-US" w:eastAsia="en-US"/>
    </w:rPr>
  </w:style>
  <w:style w:type="paragraph" w:styleId="1293" w:customStyle="1">
    <w:name w:val="Абзац списка2"/>
    <w:link w:val="965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line="276" w:lineRule="auto"/>
      <w:ind w:left="720"/>
      <w:contextualSpacing w:val="true"/>
    </w:pPr>
    <w:rPr>
      <w:rFonts w:ascii="Calibri" w:hAnsi="Calibri" w:eastAsia="Calibri"/>
      <w:sz w:val="22"/>
      <w:szCs w:val="22"/>
      <w:lang w:val="en-US" w:eastAsia="en-US"/>
    </w:rPr>
  </w:style>
  <w:style w:type="paragraph" w:styleId="1294" w:customStyle="1">
    <w:name w:val="Обычный (веб)1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100" w:afterAutospacing="1" w:before="100" w:beforeAutospacing="1"/>
      <w:ind/>
    </w:pPr>
    <w:rPr>
      <w:rFonts w:ascii="Calibri" w:hAnsi="Calibri" w:eastAsia="Calibri" w:cs="Calibri"/>
      <w:sz w:val="22"/>
      <w:szCs w:val="22"/>
    </w:rPr>
  </w:style>
  <w:style w:type="paragraph" w:styleId="1295" w:customStyle="1">
    <w:name w:val="Основной текст1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20"/>
      <w:ind/>
    </w:pPr>
    <w:rPr>
      <w:rFonts w:ascii="Arial" w:hAnsi="Arial" w:eastAsia="Arial" w:cs="Arial"/>
      <w:sz w:val="28"/>
      <w:szCs w:val="28"/>
    </w:rPr>
  </w:style>
  <w:style w:type="table" w:styleId="1296" w:customStyle="1">
    <w:name w:val="StGen1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360" w:lineRule="auto"/>
      <w:ind w:firstLine="709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</w:tblPr>
    <w:tcPr>
      <w:tcBorders/>
      <w:tcW w:w="0" w:type="auto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7" w:customStyle="1">
    <w:name w:val="StGen2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360" w:lineRule="auto"/>
      <w:ind w:firstLine="709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</w:tblPr>
    <w:tcPr>
      <w:tcBorders/>
      <w:tcW w:w="0" w:type="auto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customXml" Target="../customXml/item1.xml" /><Relationship Id="rId20" Type="http://schemas.openxmlformats.org/officeDocument/2006/relationships/image" Target="media/image1.png"/><Relationship Id="rId21" Type="http://schemas.openxmlformats.org/officeDocument/2006/relationships/hyperlink" Target="http://www.easc.by" TargetMode="External"/><Relationship Id="rId22" Type="http://schemas.openxmlformats.org/officeDocument/2006/relationships/image" Target="media/image2.png"/><Relationship Id="rId23" Type="http://schemas.openxmlformats.org/officeDocument/2006/relationships/image" Target="media/image3.jpg"/><Relationship Id="rId24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EB7F5-D4E4-4AC3-ABD4-DB7B9825D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SPecialiST RePack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cp:revision>88</cp:revision>
  <dcterms:created xsi:type="dcterms:W3CDTF">2024-05-20T09:14:00Z</dcterms:created>
  <dcterms:modified xsi:type="dcterms:W3CDTF">2025-11-01T06:24:44Z</dcterms:modified>
</cp:coreProperties>
</file>